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9FBBF" w14:textId="77777777" w:rsidR="00C8548E" w:rsidRPr="007A77EF" w:rsidRDefault="00C8548E" w:rsidP="006B5883">
      <w:pPr>
        <w:pStyle w:val="BodyA"/>
        <w:spacing w:line="480" w:lineRule="auto"/>
        <w:rPr>
          <w:color w:val="auto"/>
          <w:lang w:val="en-GB"/>
        </w:rPr>
      </w:pPr>
      <w:bookmarkStart w:id="0" w:name="_GoBack"/>
      <w:bookmarkEnd w:id="0"/>
    </w:p>
    <w:p w14:paraId="6F7BCB24" w14:textId="77777777" w:rsidR="00C8548E" w:rsidRPr="007A77EF" w:rsidRDefault="00C8548E" w:rsidP="006B5883">
      <w:pPr>
        <w:pStyle w:val="BodyA"/>
        <w:spacing w:line="480" w:lineRule="auto"/>
        <w:rPr>
          <w:color w:val="auto"/>
          <w:lang w:val="en-GB"/>
        </w:rPr>
      </w:pPr>
    </w:p>
    <w:p w14:paraId="7B2D0E8C" w14:textId="441325FB" w:rsidR="00C8548E" w:rsidRPr="007A77EF" w:rsidRDefault="00CB2B4E" w:rsidP="006B5883">
      <w:pPr>
        <w:pStyle w:val="BodyA"/>
        <w:spacing w:line="480" w:lineRule="auto"/>
        <w:rPr>
          <w:color w:val="auto"/>
          <w:lang w:val="en-GB"/>
        </w:rPr>
      </w:pPr>
      <w:r w:rsidRPr="007A77EF">
        <w:rPr>
          <w:caps/>
          <w:color w:val="auto"/>
          <w:lang w:val="en-GB"/>
        </w:rPr>
        <w:t xml:space="preserve">Effects of Self-Directed and Other-Directed Introspection and Emotional Valence on Activation </w:t>
      </w:r>
      <w:r w:rsidR="00FC590B" w:rsidRPr="007A77EF">
        <w:rPr>
          <w:caps/>
          <w:color w:val="auto"/>
          <w:lang w:val="en-GB"/>
        </w:rPr>
        <w:t>OF</w:t>
      </w:r>
      <w:r w:rsidRPr="007A77EF">
        <w:rPr>
          <w:caps/>
          <w:color w:val="auto"/>
          <w:lang w:val="en-GB"/>
        </w:rPr>
        <w:t xml:space="preserve"> the Rostral Prefrontal Cortex during Aesthetic Experience</w:t>
      </w:r>
    </w:p>
    <w:p w14:paraId="0A941569" w14:textId="77777777" w:rsidR="00C8548E" w:rsidRPr="007A77EF" w:rsidRDefault="00C8548E" w:rsidP="006B5883">
      <w:pPr>
        <w:pStyle w:val="BodyA"/>
        <w:spacing w:line="480" w:lineRule="auto"/>
        <w:rPr>
          <w:color w:val="auto"/>
          <w:lang w:val="en-GB"/>
        </w:rPr>
      </w:pPr>
    </w:p>
    <w:p w14:paraId="6E061D0E" w14:textId="77777777" w:rsidR="00C8548E" w:rsidRPr="007A77EF" w:rsidRDefault="00C8548E" w:rsidP="006B5883">
      <w:pPr>
        <w:pStyle w:val="BodyA"/>
        <w:spacing w:line="480" w:lineRule="auto"/>
        <w:rPr>
          <w:color w:val="auto"/>
          <w:lang w:val="en-GB"/>
        </w:rPr>
      </w:pPr>
    </w:p>
    <w:p w14:paraId="7B959FF6" w14:textId="77777777" w:rsidR="00C8548E" w:rsidRPr="007A77EF" w:rsidRDefault="00CB2B4E" w:rsidP="006B5883">
      <w:pPr>
        <w:pStyle w:val="BodyA"/>
        <w:spacing w:line="480" w:lineRule="auto"/>
        <w:rPr>
          <w:color w:val="auto"/>
          <w:lang w:val="en-GB"/>
        </w:rPr>
      </w:pPr>
      <w:r w:rsidRPr="007A77EF">
        <w:rPr>
          <w:color w:val="auto"/>
          <w:lang w:val="en-GB"/>
        </w:rPr>
        <w:t>Ute Kreplin &amp; Stephen H. Fairclough</w:t>
      </w:r>
    </w:p>
    <w:p w14:paraId="3626A691" w14:textId="77777777" w:rsidR="00C8548E" w:rsidRPr="007A77EF" w:rsidRDefault="00CB2B4E" w:rsidP="006B5883">
      <w:pPr>
        <w:pStyle w:val="BodyA"/>
        <w:spacing w:line="480" w:lineRule="auto"/>
        <w:rPr>
          <w:color w:val="auto"/>
          <w:lang w:val="en-GB"/>
        </w:rPr>
      </w:pPr>
      <w:r w:rsidRPr="007A77EF">
        <w:rPr>
          <w:color w:val="auto"/>
          <w:lang w:val="en-GB"/>
        </w:rPr>
        <w:t xml:space="preserve">School of Natural Sciences and Psychology, </w:t>
      </w:r>
    </w:p>
    <w:p w14:paraId="03D0C872" w14:textId="77777777" w:rsidR="00C8548E" w:rsidRPr="007A77EF" w:rsidRDefault="00CB2B4E" w:rsidP="006B5883">
      <w:pPr>
        <w:pStyle w:val="BodyAA"/>
        <w:spacing w:line="480" w:lineRule="auto"/>
        <w:rPr>
          <w:color w:val="auto"/>
          <w:lang w:val="en-GB"/>
        </w:rPr>
      </w:pPr>
      <w:r w:rsidRPr="007A77EF">
        <w:rPr>
          <w:color w:val="auto"/>
          <w:lang w:val="en-GB"/>
        </w:rPr>
        <w:t xml:space="preserve">Liverpool John Moores University, </w:t>
      </w:r>
    </w:p>
    <w:p w14:paraId="7BA660A1" w14:textId="77777777" w:rsidR="00C8548E" w:rsidRPr="007A77EF" w:rsidRDefault="00CB2B4E" w:rsidP="006B5883">
      <w:pPr>
        <w:pStyle w:val="BodyAA"/>
        <w:spacing w:line="480" w:lineRule="auto"/>
        <w:rPr>
          <w:color w:val="auto"/>
          <w:vertAlign w:val="superscript"/>
          <w:lang w:val="en-GB"/>
        </w:rPr>
      </w:pPr>
      <w:r w:rsidRPr="007A77EF">
        <w:rPr>
          <w:color w:val="auto"/>
          <w:lang w:val="en-GB"/>
        </w:rPr>
        <w:t>UK.</w:t>
      </w:r>
    </w:p>
    <w:p w14:paraId="38D5E890" w14:textId="77777777" w:rsidR="00C8548E" w:rsidRPr="007A77EF" w:rsidRDefault="00C8548E" w:rsidP="006B5883">
      <w:pPr>
        <w:pStyle w:val="BodyA"/>
        <w:spacing w:line="480" w:lineRule="auto"/>
        <w:rPr>
          <w:color w:val="auto"/>
          <w:lang w:val="en-GB"/>
        </w:rPr>
      </w:pPr>
    </w:p>
    <w:p w14:paraId="0147C1B2" w14:textId="77777777" w:rsidR="00C8548E" w:rsidRPr="007A77EF" w:rsidRDefault="00C8548E" w:rsidP="006B5883">
      <w:pPr>
        <w:pStyle w:val="BodyA"/>
        <w:spacing w:line="480" w:lineRule="auto"/>
        <w:rPr>
          <w:color w:val="auto"/>
          <w:lang w:val="en-GB"/>
        </w:rPr>
      </w:pPr>
    </w:p>
    <w:p w14:paraId="38DE73ED" w14:textId="77777777" w:rsidR="00C8548E" w:rsidRPr="007A77EF" w:rsidRDefault="00C8548E" w:rsidP="006B5883">
      <w:pPr>
        <w:pStyle w:val="BodyA"/>
        <w:spacing w:line="480" w:lineRule="auto"/>
        <w:rPr>
          <w:color w:val="auto"/>
          <w:lang w:val="en-GB"/>
        </w:rPr>
      </w:pPr>
    </w:p>
    <w:p w14:paraId="49120FA8" w14:textId="77777777" w:rsidR="00C8548E" w:rsidRPr="007A77EF" w:rsidRDefault="00CB2B4E" w:rsidP="006B5883">
      <w:pPr>
        <w:pStyle w:val="BodyA"/>
        <w:spacing w:line="480" w:lineRule="auto"/>
        <w:rPr>
          <w:color w:val="auto"/>
          <w:lang w:val="en-GB"/>
        </w:rPr>
      </w:pPr>
      <w:r w:rsidRPr="007A77EF">
        <w:rPr>
          <w:color w:val="auto"/>
          <w:lang w:val="en-GB"/>
        </w:rPr>
        <w:t>Author for Correspondence:</w:t>
      </w:r>
    </w:p>
    <w:p w14:paraId="54EF8D0D" w14:textId="722BE689" w:rsidR="00C8548E" w:rsidRPr="007A77EF" w:rsidRDefault="00CB2B4E" w:rsidP="006B5883">
      <w:pPr>
        <w:pStyle w:val="BodyA"/>
        <w:spacing w:line="480" w:lineRule="auto"/>
        <w:rPr>
          <w:color w:val="auto"/>
          <w:lang w:val="en-GB"/>
        </w:rPr>
      </w:pPr>
      <w:r w:rsidRPr="007A77EF">
        <w:rPr>
          <w:color w:val="auto"/>
          <w:lang w:val="en-GB"/>
        </w:rPr>
        <w:t xml:space="preserve">Ute Kreplin, </w:t>
      </w:r>
      <w:r w:rsidR="006B5883" w:rsidRPr="007A77EF">
        <w:rPr>
          <w:color w:val="auto"/>
          <w:lang w:val="en-GB"/>
        </w:rPr>
        <w:t>Centre for Research in Psychology, Behaviour and Achievement, Coventry University, Priory Street, Coventry, CV1 5FB, UK</w:t>
      </w:r>
    </w:p>
    <w:p w14:paraId="05031094" w14:textId="6C361761" w:rsidR="00C8548E" w:rsidRPr="007A77EF" w:rsidRDefault="00CB2B4E" w:rsidP="006B5883">
      <w:pPr>
        <w:pStyle w:val="BodyA"/>
        <w:spacing w:line="480" w:lineRule="auto"/>
        <w:rPr>
          <w:color w:val="auto"/>
          <w:lang w:val="en-GB"/>
        </w:rPr>
      </w:pPr>
      <w:r w:rsidRPr="007A77EF">
        <w:rPr>
          <w:color w:val="auto"/>
          <w:lang w:val="en-GB"/>
        </w:rPr>
        <w:t xml:space="preserve">Tel: </w:t>
      </w:r>
      <w:proofErr w:type="gramStart"/>
      <w:r w:rsidR="006B5883" w:rsidRPr="007A77EF">
        <w:rPr>
          <w:color w:val="auto"/>
          <w:lang w:val="en-GB"/>
        </w:rPr>
        <w:t>02477659516</w:t>
      </w:r>
      <w:r w:rsidRPr="007A77EF">
        <w:rPr>
          <w:color w:val="auto"/>
          <w:lang w:val="en-GB"/>
        </w:rPr>
        <w:t xml:space="preserve">  Email</w:t>
      </w:r>
      <w:proofErr w:type="gramEnd"/>
      <w:r w:rsidRPr="007A77EF">
        <w:rPr>
          <w:color w:val="auto"/>
          <w:lang w:val="en-GB"/>
        </w:rPr>
        <w:t xml:space="preserve">: </w:t>
      </w:r>
      <w:hyperlink r:id="rId9" w:history="1">
        <w:r w:rsidR="006B5883" w:rsidRPr="007A77EF">
          <w:rPr>
            <w:rStyle w:val="Hyperlink"/>
            <w:color w:val="auto"/>
            <w:u w:val="none"/>
            <w:lang w:val="en-GB"/>
          </w:rPr>
          <w:t>ute.kreplin@coventry.ac.uk</w:t>
        </w:r>
      </w:hyperlink>
    </w:p>
    <w:p w14:paraId="5F40B527" w14:textId="77777777" w:rsidR="00CA3DCB" w:rsidRDefault="00CA3DCB" w:rsidP="006B5883">
      <w:pPr>
        <w:pStyle w:val="BodyA"/>
        <w:spacing w:line="480" w:lineRule="auto"/>
        <w:rPr>
          <w:color w:val="auto"/>
          <w:lang w:val="en-GB"/>
        </w:rPr>
      </w:pPr>
    </w:p>
    <w:p w14:paraId="53A9EEC4" w14:textId="77777777" w:rsidR="00CA3DCB" w:rsidRDefault="00CA3DCB" w:rsidP="006B5883">
      <w:pPr>
        <w:pStyle w:val="BodyA"/>
        <w:spacing w:line="480" w:lineRule="auto"/>
        <w:rPr>
          <w:color w:val="auto"/>
          <w:lang w:val="en-GB"/>
        </w:rPr>
      </w:pPr>
    </w:p>
    <w:p w14:paraId="3939B650" w14:textId="77777777" w:rsidR="00CA3DCB" w:rsidRDefault="00CA3DCB" w:rsidP="006B5883">
      <w:pPr>
        <w:pStyle w:val="BodyA"/>
        <w:spacing w:line="480" w:lineRule="auto"/>
        <w:rPr>
          <w:color w:val="auto"/>
          <w:lang w:val="en-GB"/>
        </w:rPr>
      </w:pPr>
    </w:p>
    <w:p w14:paraId="2B3E0B31" w14:textId="77777777" w:rsidR="00C33EE0" w:rsidRDefault="00CA3DCB" w:rsidP="00CA3DCB">
      <w:pPr>
        <w:pStyle w:val="BodyA"/>
        <w:spacing w:line="480" w:lineRule="auto"/>
        <w:rPr>
          <w:color w:val="auto"/>
          <w:lang w:val="en-GB"/>
        </w:rPr>
      </w:pPr>
      <w:r w:rsidRPr="00CA3DCB">
        <w:rPr>
          <w:color w:val="auto"/>
          <w:lang w:val="en-GB"/>
        </w:rPr>
        <w:t xml:space="preserve">Please cite this article as: </w:t>
      </w:r>
    </w:p>
    <w:p w14:paraId="7613DE1F" w14:textId="0640299A" w:rsidR="00CA3DCB" w:rsidRDefault="00CA3DCB" w:rsidP="00CA3DCB">
      <w:pPr>
        <w:pStyle w:val="BodyA"/>
        <w:spacing w:line="480" w:lineRule="auto"/>
        <w:rPr>
          <w:color w:val="auto"/>
          <w:lang w:val="en-GB"/>
        </w:rPr>
      </w:pPr>
      <w:r w:rsidRPr="00CA3DCB">
        <w:rPr>
          <w:color w:val="auto"/>
          <w:lang w:val="en-GB"/>
        </w:rPr>
        <w:t>Kreplin, U., Fairclough, S.H., Effects of self-directed and other-directed introspection and emotional valence on</w:t>
      </w:r>
      <w:r>
        <w:rPr>
          <w:color w:val="auto"/>
          <w:lang w:val="en-GB"/>
        </w:rPr>
        <w:t xml:space="preserve"> </w:t>
      </w:r>
      <w:r w:rsidR="00C33EE0">
        <w:rPr>
          <w:color w:val="auto"/>
          <w:lang w:val="en-GB"/>
        </w:rPr>
        <w:t xml:space="preserve">activation of the rostral prefrontal cortex during aesthetic experience. </w:t>
      </w:r>
      <w:r w:rsidRPr="00CA3DCB">
        <w:rPr>
          <w:color w:val="auto"/>
          <w:lang w:val="en-GB"/>
        </w:rPr>
        <w:t>Neuropsychologia (2015),</w:t>
      </w:r>
      <w:r w:rsidR="00C33EE0">
        <w:rPr>
          <w:color w:val="auto"/>
          <w:lang w:val="en-GB"/>
        </w:rPr>
        <w:t xml:space="preserve"> </w:t>
      </w:r>
      <w:r w:rsidRPr="00CA3DCB">
        <w:rPr>
          <w:color w:val="auto"/>
          <w:lang w:val="en-GB"/>
        </w:rPr>
        <w:t>http://dx.doi.org/10.1016/j.neuropsychologia.2015.03.013</w:t>
      </w:r>
    </w:p>
    <w:p w14:paraId="0616E539" w14:textId="77777777" w:rsidR="00C8548E" w:rsidRPr="007A77EF" w:rsidRDefault="00CB2B4E" w:rsidP="006B5883">
      <w:pPr>
        <w:pStyle w:val="BodyA"/>
        <w:spacing w:line="480" w:lineRule="auto"/>
        <w:jc w:val="center"/>
        <w:rPr>
          <w:color w:val="auto"/>
          <w:lang w:val="en-GB"/>
        </w:rPr>
      </w:pPr>
      <w:r w:rsidRPr="007A77EF">
        <w:rPr>
          <w:color w:val="auto"/>
          <w:lang w:val="en-GB"/>
        </w:rPr>
        <w:lastRenderedPageBreak/>
        <w:t>ABSTRACT</w:t>
      </w:r>
    </w:p>
    <w:p w14:paraId="37647481" w14:textId="77777777" w:rsidR="00C8548E" w:rsidRPr="007A77EF" w:rsidRDefault="00C8548E" w:rsidP="006B5883">
      <w:pPr>
        <w:pStyle w:val="BodyA"/>
        <w:spacing w:line="480" w:lineRule="auto"/>
        <w:rPr>
          <w:color w:val="auto"/>
          <w:lang w:val="en-GB"/>
        </w:rPr>
      </w:pPr>
    </w:p>
    <w:p w14:paraId="55E8D8E5" w14:textId="4C343F4E" w:rsidR="00AE377D" w:rsidRPr="007A77EF" w:rsidRDefault="00CB2B4E" w:rsidP="006B5883">
      <w:pPr>
        <w:pStyle w:val="BodyA"/>
        <w:spacing w:line="480" w:lineRule="auto"/>
        <w:rPr>
          <w:color w:val="auto"/>
          <w:lang w:val="en-GB"/>
        </w:rPr>
      </w:pPr>
      <w:r w:rsidRPr="007A77EF">
        <w:rPr>
          <w:color w:val="auto"/>
          <w:lang w:val="en-GB"/>
        </w:rPr>
        <w:t xml:space="preserve">The medial area of the rostral prefrontal cortex (rPFC) has been implicated in </w:t>
      </w:r>
      <w:r w:rsidRPr="007A77EF">
        <w:rPr>
          <w:iCs/>
          <w:color w:val="auto"/>
          <w:lang w:val="en-GB"/>
        </w:rPr>
        <w:t>self</w:t>
      </w:r>
      <w:r w:rsidRPr="007A77EF">
        <w:rPr>
          <w:color w:val="auto"/>
          <w:lang w:val="en-GB"/>
        </w:rPr>
        <w:t xml:space="preserve">-relevant processing, autobiographical memory and emotional processing, including the </w:t>
      </w:r>
      <w:r w:rsidR="00B9742F" w:rsidRPr="007A77EF">
        <w:rPr>
          <w:color w:val="auto"/>
          <w:lang w:val="en-GB"/>
        </w:rPr>
        <w:t xml:space="preserve">processing </w:t>
      </w:r>
      <w:r w:rsidRPr="007A77EF">
        <w:rPr>
          <w:color w:val="auto"/>
          <w:lang w:val="en-GB"/>
        </w:rPr>
        <w:t>of pleasure during aesthetic experiences. The goal of this study was to investigate changes in rPFC activity</w:t>
      </w:r>
      <w:r w:rsidR="001E1EB6" w:rsidRPr="007A77EF">
        <w:rPr>
          <w:color w:val="auto"/>
          <w:lang w:val="en-GB"/>
        </w:rPr>
        <w:t xml:space="preserve"> using functional near-infrared spectroscopy (</w:t>
      </w:r>
      <w:r w:rsidR="00D42BF3" w:rsidRPr="007A77EF">
        <w:rPr>
          <w:color w:val="auto"/>
          <w:lang w:val="en-GB"/>
        </w:rPr>
        <w:t>fNIRS</w:t>
      </w:r>
      <w:r w:rsidR="001E1EB6" w:rsidRPr="007A77EF">
        <w:rPr>
          <w:color w:val="auto"/>
          <w:lang w:val="en-GB"/>
        </w:rPr>
        <w:t>)</w:t>
      </w:r>
      <w:r w:rsidRPr="007A77EF">
        <w:rPr>
          <w:color w:val="auto"/>
          <w:lang w:val="en-GB"/>
        </w:rPr>
        <w:t xml:space="preserve"> in response to affective stimuli viewed in a </w:t>
      </w:r>
      <w:r w:rsidRPr="007A77EF">
        <w:rPr>
          <w:iCs/>
          <w:color w:val="auto"/>
          <w:lang w:val="en-GB"/>
        </w:rPr>
        <w:t>self</w:t>
      </w:r>
      <w:r w:rsidRPr="007A77EF">
        <w:rPr>
          <w:color w:val="auto"/>
          <w:lang w:val="en-GB"/>
        </w:rPr>
        <w:t xml:space="preserve">-relevant or </w:t>
      </w:r>
      <w:r w:rsidRPr="007A77EF">
        <w:rPr>
          <w:iCs/>
          <w:color w:val="auto"/>
          <w:lang w:val="en-GB"/>
        </w:rPr>
        <w:t>other</w:t>
      </w:r>
      <w:r w:rsidRPr="007A77EF">
        <w:rPr>
          <w:color w:val="auto"/>
          <w:lang w:val="en-GB"/>
        </w:rPr>
        <w:t>-relevant context. Positive and negative images were displayed to 20 participants under two viewing conditions where participants were asked to think of their own emotions (</w:t>
      </w:r>
      <w:r w:rsidRPr="007A77EF">
        <w:rPr>
          <w:i/>
          <w:iCs/>
          <w:color w:val="auto"/>
          <w:lang w:val="en-GB"/>
        </w:rPr>
        <w:t>self</w:t>
      </w:r>
      <w:r w:rsidRPr="007A77EF">
        <w:rPr>
          <w:color w:val="auto"/>
          <w:lang w:val="en-GB"/>
        </w:rPr>
        <w:t>) or think about the emotions of the artist who created the work (</w:t>
      </w:r>
      <w:r w:rsidRPr="007A77EF">
        <w:rPr>
          <w:i/>
          <w:iCs/>
          <w:color w:val="auto"/>
          <w:lang w:val="en-GB"/>
        </w:rPr>
        <w:t>other</w:t>
      </w:r>
      <w:r w:rsidRPr="007A77EF">
        <w:rPr>
          <w:color w:val="auto"/>
          <w:lang w:val="en-GB"/>
        </w:rPr>
        <w:t xml:space="preserve">). </w:t>
      </w:r>
      <w:r w:rsidR="00AE377D" w:rsidRPr="007A77EF">
        <w:rPr>
          <w:color w:val="auto"/>
          <w:lang w:val="en-GB"/>
        </w:rPr>
        <w:t>The</w:t>
      </w:r>
      <w:r w:rsidR="004D38DF" w:rsidRPr="007A77EF">
        <w:rPr>
          <w:color w:val="auto"/>
          <w:lang w:val="en-GB"/>
        </w:rPr>
        <w:t xml:space="preserve"> results revealed an increase of</w:t>
      </w:r>
      <w:r w:rsidR="00805F03" w:rsidRPr="007A77EF">
        <w:rPr>
          <w:color w:val="auto"/>
          <w:lang w:val="en-GB"/>
        </w:rPr>
        <w:t xml:space="preserve"> HbO </w:t>
      </w:r>
      <w:r w:rsidRPr="007A77EF">
        <w:rPr>
          <w:color w:val="auto"/>
          <w:lang w:val="en-GB"/>
        </w:rPr>
        <w:t xml:space="preserve">when participants </w:t>
      </w:r>
      <w:r w:rsidR="002B734D" w:rsidRPr="007A77EF">
        <w:rPr>
          <w:color w:val="auto"/>
          <w:lang w:val="en-GB"/>
        </w:rPr>
        <w:t xml:space="preserve">viewed images during the </w:t>
      </w:r>
      <w:r w:rsidR="002B734D" w:rsidRPr="007A77EF">
        <w:rPr>
          <w:i/>
          <w:color w:val="auto"/>
          <w:lang w:val="en-GB"/>
        </w:rPr>
        <w:t>other</w:t>
      </w:r>
      <w:r w:rsidR="002B734D" w:rsidRPr="007A77EF">
        <w:rPr>
          <w:color w:val="auto"/>
          <w:lang w:val="en-GB"/>
        </w:rPr>
        <w:t>-condition</w:t>
      </w:r>
      <w:r w:rsidR="00805F03" w:rsidRPr="007A77EF">
        <w:rPr>
          <w:color w:val="auto"/>
          <w:lang w:val="en-GB"/>
        </w:rPr>
        <w:t xml:space="preserve"> compared to the </w:t>
      </w:r>
      <w:r w:rsidR="00805F03" w:rsidRPr="007A77EF">
        <w:rPr>
          <w:i/>
          <w:color w:val="auto"/>
          <w:lang w:val="en-GB"/>
        </w:rPr>
        <w:t>self</w:t>
      </w:r>
      <w:r w:rsidR="00805F03" w:rsidRPr="007A77EF">
        <w:rPr>
          <w:color w:val="auto"/>
          <w:lang w:val="en-GB"/>
        </w:rPr>
        <w:t>-condition</w:t>
      </w:r>
      <w:r w:rsidRPr="007A77EF">
        <w:rPr>
          <w:color w:val="auto"/>
          <w:lang w:val="en-GB"/>
        </w:rPr>
        <w:t xml:space="preserve">. </w:t>
      </w:r>
      <w:r w:rsidR="00B77EDA" w:rsidRPr="007A77EF">
        <w:rPr>
          <w:color w:val="auto"/>
          <w:lang w:val="en-GB"/>
        </w:rPr>
        <w:t xml:space="preserve"> </w:t>
      </w:r>
      <w:r w:rsidR="004D38DF" w:rsidRPr="007A77EF">
        <w:rPr>
          <w:color w:val="auto"/>
          <w:lang w:val="en-GB"/>
        </w:rPr>
        <w:t>It was concluded</w:t>
      </w:r>
      <w:r w:rsidR="00AE377D" w:rsidRPr="007A77EF">
        <w:rPr>
          <w:color w:val="auto"/>
          <w:lang w:val="en-GB"/>
        </w:rPr>
        <w:t xml:space="preserve"> that </w:t>
      </w:r>
      <w:r w:rsidR="002B734D" w:rsidRPr="007A77EF">
        <w:rPr>
          <w:color w:val="auto"/>
          <w:lang w:val="en-GB"/>
        </w:rPr>
        <w:t>viewing stimuli from the perspective of another</w:t>
      </w:r>
      <w:r w:rsidR="00AE377D" w:rsidRPr="007A77EF">
        <w:rPr>
          <w:color w:val="auto"/>
          <w:lang w:val="en-GB"/>
        </w:rPr>
        <w:t xml:space="preserve"> was associated with an increase of cognitive demand</w:t>
      </w:r>
      <w:r w:rsidR="002B734D" w:rsidRPr="007A77EF">
        <w:rPr>
          <w:color w:val="auto"/>
          <w:lang w:val="en-GB"/>
        </w:rPr>
        <w:t>.</w:t>
      </w:r>
      <w:r w:rsidR="00AE377D" w:rsidRPr="007A77EF">
        <w:rPr>
          <w:color w:val="auto"/>
          <w:lang w:val="en-GB"/>
        </w:rPr>
        <w:t xml:space="preserve">  </w:t>
      </w:r>
      <w:r w:rsidR="004D38DF" w:rsidRPr="007A77EF">
        <w:rPr>
          <w:color w:val="auto"/>
          <w:lang w:val="en-GB"/>
        </w:rPr>
        <w:t>The a</w:t>
      </w:r>
      <w:r w:rsidR="00AE377D" w:rsidRPr="007A77EF">
        <w:rPr>
          <w:color w:val="auto"/>
          <w:lang w:val="en-GB"/>
        </w:rPr>
        <w:t>nalysis of deoxygenated haemoglobin (HHb) at right hemispheric areas revealed that activation of</w:t>
      </w:r>
      <w:r w:rsidR="009B3297" w:rsidRPr="007A77EF">
        <w:rPr>
          <w:color w:val="auto"/>
          <w:lang w:val="en-GB"/>
        </w:rPr>
        <w:t xml:space="preserve"> the</w:t>
      </w:r>
      <w:r w:rsidR="00AE377D" w:rsidRPr="007A77EF">
        <w:rPr>
          <w:color w:val="auto"/>
          <w:lang w:val="en-GB"/>
        </w:rPr>
        <w:t xml:space="preserve"> rPFC during the </w:t>
      </w:r>
      <w:r w:rsidR="00AE377D" w:rsidRPr="007A77EF">
        <w:rPr>
          <w:i/>
          <w:color w:val="auto"/>
          <w:lang w:val="en-GB"/>
        </w:rPr>
        <w:t>other</w:t>
      </w:r>
      <w:r w:rsidR="00AE377D" w:rsidRPr="007A77EF">
        <w:rPr>
          <w:color w:val="auto"/>
          <w:lang w:val="en-GB"/>
        </w:rPr>
        <w:t>-condition</w:t>
      </w:r>
      <w:r w:rsidR="002B734D" w:rsidRPr="007A77EF">
        <w:rPr>
          <w:color w:val="auto"/>
          <w:lang w:val="en-GB"/>
        </w:rPr>
        <w:t xml:space="preserve"> </w:t>
      </w:r>
      <w:r w:rsidR="00AE377D" w:rsidRPr="007A77EF">
        <w:rPr>
          <w:color w:val="auto"/>
          <w:lang w:val="en-GB"/>
        </w:rPr>
        <w:t xml:space="preserve">was specific to </w:t>
      </w:r>
      <w:r w:rsidR="004D38DF" w:rsidRPr="007A77EF">
        <w:rPr>
          <w:color w:val="auto"/>
          <w:lang w:val="en-GB"/>
        </w:rPr>
        <w:t xml:space="preserve">the </w:t>
      </w:r>
      <w:r w:rsidR="00AE377D" w:rsidRPr="007A77EF">
        <w:rPr>
          <w:color w:val="auto"/>
          <w:lang w:val="en-GB"/>
        </w:rPr>
        <w:t>negative image</w:t>
      </w:r>
      <w:r w:rsidR="00823552" w:rsidRPr="007A77EF">
        <w:rPr>
          <w:color w:val="auto"/>
          <w:lang w:val="en-GB"/>
        </w:rPr>
        <w:t>s</w:t>
      </w:r>
      <w:r w:rsidR="00AE377D" w:rsidRPr="007A77EF">
        <w:rPr>
          <w:color w:val="auto"/>
          <w:lang w:val="en-GB"/>
        </w:rPr>
        <w:t xml:space="preserve">.  When images </w:t>
      </w:r>
      <w:r w:rsidR="004D38DF" w:rsidRPr="007A77EF">
        <w:rPr>
          <w:color w:val="auto"/>
          <w:lang w:val="en-GB"/>
        </w:rPr>
        <w:t xml:space="preserve">were viewed </w:t>
      </w:r>
      <w:r w:rsidR="00AE377D" w:rsidRPr="007A77EF">
        <w:rPr>
          <w:color w:val="auto"/>
          <w:lang w:val="en-GB"/>
        </w:rPr>
        <w:t xml:space="preserve">from the perspective of the self, </w:t>
      </w:r>
      <w:r w:rsidR="004D38DF" w:rsidRPr="007A77EF">
        <w:rPr>
          <w:color w:val="auto"/>
          <w:lang w:val="en-GB"/>
        </w:rPr>
        <w:t xml:space="preserve">activation of the rPFC </w:t>
      </w:r>
      <w:r w:rsidR="00AE377D" w:rsidRPr="007A77EF">
        <w:rPr>
          <w:color w:val="auto"/>
          <w:lang w:val="en-GB"/>
        </w:rPr>
        <w:t xml:space="preserve">significantly </w:t>
      </w:r>
      <w:r w:rsidR="004D38DF" w:rsidRPr="007A77EF">
        <w:rPr>
          <w:color w:val="auto"/>
          <w:lang w:val="en-GB"/>
        </w:rPr>
        <w:t>increased</w:t>
      </w:r>
      <w:r w:rsidR="00AE377D" w:rsidRPr="007A77EF">
        <w:rPr>
          <w:color w:val="auto"/>
          <w:lang w:val="en-GB"/>
        </w:rPr>
        <w:t xml:space="preserve"> at the right-medial area of the rPFC for positive images.  Our findings indicate that the influence of valence on rPFC activation during aesthetic </w:t>
      </w:r>
      <w:r w:rsidR="004D38DF" w:rsidRPr="007A77EF">
        <w:rPr>
          <w:color w:val="auto"/>
          <w:lang w:val="en-GB"/>
        </w:rPr>
        <w:t xml:space="preserve">experience </w:t>
      </w:r>
      <w:r w:rsidR="00AE377D" w:rsidRPr="007A77EF">
        <w:rPr>
          <w:color w:val="auto"/>
          <w:lang w:val="en-GB"/>
        </w:rPr>
        <w:t>is contingent on the context of the viewing experience</w:t>
      </w:r>
      <w:r w:rsidR="004D38DF" w:rsidRPr="007A77EF">
        <w:rPr>
          <w:color w:val="auto"/>
          <w:lang w:val="en-GB"/>
        </w:rPr>
        <w:t xml:space="preserve"> and there is</w:t>
      </w:r>
      <w:r w:rsidR="00AE377D" w:rsidRPr="007A77EF">
        <w:rPr>
          <w:color w:val="auto"/>
          <w:lang w:val="en-GB"/>
        </w:rPr>
        <w:t xml:space="preserve"> a bias towards positiv</w:t>
      </w:r>
      <w:r w:rsidR="004D38DF" w:rsidRPr="007A77EF">
        <w:rPr>
          <w:color w:val="auto"/>
          <w:lang w:val="en-GB"/>
        </w:rPr>
        <w:t>e emotion</w:t>
      </w:r>
      <w:r w:rsidR="00AE377D" w:rsidRPr="007A77EF">
        <w:rPr>
          <w:color w:val="auto"/>
          <w:lang w:val="en-GB"/>
        </w:rPr>
        <w:t xml:space="preserve"> when images are viewed from the context of the self.</w:t>
      </w:r>
    </w:p>
    <w:p w14:paraId="6E5DEA03" w14:textId="77777777" w:rsidR="00AC2839" w:rsidRPr="007A77EF" w:rsidRDefault="00AC2839" w:rsidP="006B5883">
      <w:pPr>
        <w:pStyle w:val="BodyA"/>
        <w:spacing w:line="480" w:lineRule="auto"/>
        <w:rPr>
          <w:color w:val="auto"/>
          <w:lang w:val="en-GB"/>
        </w:rPr>
      </w:pPr>
    </w:p>
    <w:p w14:paraId="7E0AB857" w14:textId="7610AC3A" w:rsidR="00C8548E" w:rsidRPr="007A77EF" w:rsidRDefault="00AC2839" w:rsidP="006B5883">
      <w:pPr>
        <w:pStyle w:val="BodyA"/>
        <w:spacing w:line="480" w:lineRule="auto"/>
        <w:rPr>
          <w:color w:val="auto"/>
          <w:lang w:val="en-GB"/>
        </w:rPr>
      </w:pPr>
      <w:r w:rsidRPr="007A77EF">
        <w:rPr>
          <w:i/>
          <w:color w:val="auto"/>
          <w:lang w:val="en-GB"/>
        </w:rPr>
        <w:t>Keywords</w:t>
      </w:r>
      <w:r w:rsidRPr="007A77EF">
        <w:rPr>
          <w:color w:val="auto"/>
          <w:lang w:val="en-GB"/>
        </w:rPr>
        <w:t xml:space="preserve">: </w:t>
      </w:r>
      <w:r w:rsidR="008B485A" w:rsidRPr="007A77EF">
        <w:rPr>
          <w:color w:val="auto"/>
          <w:lang w:val="en-GB"/>
        </w:rPr>
        <w:t>N</w:t>
      </w:r>
      <w:r w:rsidR="00223D53" w:rsidRPr="007A77EF">
        <w:rPr>
          <w:color w:val="auto"/>
          <w:lang w:val="en-GB"/>
        </w:rPr>
        <w:t xml:space="preserve">euroaesthetics, BA10, </w:t>
      </w:r>
      <w:r w:rsidR="008B485A" w:rsidRPr="007A77EF">
        <w:rPr>
          <w:color w:val="auto"/>
          <w:lang w:val="en-GB"/>
        </w:rPr>
        <w:t xml:space="preserve">emotion, attention, </w:t>
      </w:r>
      <w:r w:rsidR="00D42BF3" w:rsidRPr="007A77EF">
        <w:rPr>
          <w:color w:val="auto"/>
          <w:lang w:val="en-GB"/>
        </w:rPr>
        <w:t>fNIRS</w:t>
      </w:r>
    </w:p>
    <w:p w14:paraId="7C4ED5BE" w14:textId="77777777" w:rsidR="00C8548E" w:rsidRPr="007A77EF" w:rsidRDefault="00CB2B4E" w:rsidP="006B5883">
      <w:pPr>
        <w:pStyle w:val="BodyA"/>
        <w:spacing w:line="480" w:lineRule="auto"/>
        <w:rPr>
          <w:color w:val="auto"/>
          <w:lang w:val="en-GB"/>
        </w:rPr>
      </w:pPr>
      <w:r w:rsidRPr="007A77EF">
        <w:rPr>
          <w:color w:val="auto"/>
          <w:lang w:val="en-GB"/>
        </w:rPr>
        <w:br w:type="page"/>
      </w:r>
    </w:p>
    <w:p w14:paraId="56A7D2D2" w14:textId="1DAA501C" w:rsidR="00C8548E" w:rsidRPr="007A77EF" w:rsidRDefault="00834D53" w:rsidP="007A77EF">
      <w:pPr>
        <w:pStyle w:val="BodyA"/>
        <w:numPr>
          <w:ilvl w:val="0"/>
          <w:numId w:val="1"/>
        </w:numPr>
        <w:spacing w:line="480" w:lineRule="auto"/>
        <w:rPr>
          <w:color w:val="auto"/>
          <w:lang w:val="en-GB"/>
        </w:rPr>
      </w:pPr>
      <w:r w:rsidRPr="007A77EF">
        <w:rPr>
          <w:color w:val="auto"/>
          <w:lang w:val="en-GB"/>
        </w:rPr>
        <w:lastRenderedPageBreak/>
        <w:t>INTRODUCTION</w:t>
      </w:r>
    </w:p>
    <w:p w14:paraId="45ADAC31" w14:textId="77777777" w:rsidR="00834D53" w:rsidRPr="007A77EF" w:rsidRDefault="00834D53" w:rsidP="00B93EE2">
      <w:pPr>
        <w:pStyle w:val="BodyA"/>
        <w:spacing w:line="480" w:lineRule="auto"/>
        <w:rPr>
          <w:color w:val="auto"/>
          <w:lang w:val="en-GB"/>
        </w:rPr>
      </w:pPr>
    </w:p>
    <w:p w14:paraId="2CAF6974" w14:textId="173CFEB2" w:rsidR="008A3562" w:rsidRPr="007A77EF" w:rsidRDefault="00CB2B4E" w:rsidP="00B93EE2">
      <w:pPr>
        <w:pStyle w:val="BodyA"/>
        <w:spacing w:line="480" w:lineRule="auto"/>
        <w:rPr>
          <w:color w:val="auto"/>
          <w:lang w:val="en-GB"/>
        </w:rPr>
      </w:pPr>
      <w:r w:rsidRPr="007A77EF">
        <w:rPr>
          <w:color w:val="auto"/>
          <w:lang w:val="en-GB"/>
        </w:rPr>
        <w:tab/>
        <w:t xml:space="preserve">Understanding visual art involves processing aspects of the image in relation to the feeling and </w:t>
      </w:r>
      <w:r w:rsidR="00FC590B" w:rsidRPr="007A77EF">
        <w:rPr>
          <w:color w:val="auto"/>
          <w:lang w:val="en-GB"/>
        </w:rPr>
        <w:t xml:space="preserve">past </w:t>
      </w:r>
      <w:r w:rsidRPr="007A77EF">
        <w:rPr>
          <w:color w:val="auto"/>
          <w:lang w:val="en-GB"/>
        </w:rPr>
        <w:t xml:space="preserve">experiences of the viewer. A painting of a harbour may be experienced as positive due to a general liking of boats and the sea or because the image evokes memories of a pleasant holiday.  It is likely that naive viewers who are unfamiliar with artistic styles or the background of an artist draw </w:t>
      </w:r>
      <w:r w:rsidR="00FC590B" w:rsidRPr="007A77EF">
        <w:rPr>
          <w:color w:val="auto"/>
          <w:lang w:val="en-GB"/>
        </w:rPr>
        <w:t>from</w:t>
      </w:r>
      <w:r w:rsidRPr="007A77EF">
        <w:rPr>
          <w:color w:val="auto"/>
          <w:lang w:val="en-GB"/>
        </w:rPr>
        <w:t xml:space="preserve"> personal experience in order to </w:t>
      </w:r>
      <w:r w:rsidR="00834D53" w:rsidRPr="007A77EF">
        <w:rPr>
          <w:color w:val="auto"/>
          <w:lang w:val="en-GB"/>
        </w:rPr>
        <w:t>impose</w:t>
      </w:r>
      <w:r w:rsidRPr="007A77EF">
        <w:rPr>
          <w:color w:val="auto"/>
          <w:lang w:val="en-GB"/>
        </w:rPr>
        <w:t xml:space="preserve"> meaning </w:t>
      </w:r>
      <w:r w:rsidR="00834D53" w:rsidRPr="007A77EF">
        <w:rPr>
          <w:color w:val="auto"/>
          <w:lang w:val="en-GB"/>
        </w:rPr>
        <w:t>upon</w:t>
      </w:r>
      <w:r w:rsidRPr="007A77EF">
        <w:rPr>
          <w:color w:val="auto"/>
          <w:lang w:val="en-GB"/>
        </w:rPr>
        <w:t xml:space="preserve"> a</w:t>
      </w:r>
      <w:r w:rsidR="00FC590B" w:rsidRPr="007A77EF">
        <w:rPr>
          <w:color w:val="auto"/>
          <w:lang w:val="en-GB"/>
        </w:rPr>
        <w:t xml:space="preserve"> work of</w:t>
      </w:r>
      <w:r w:rsidRPr="007A77EF">
        <w:rPr>
          <w:color w:val="auto"/>
          <w:lang w:val="en-GB"/>
        </w:rPr>
        <w:t xml:space="preserve"> art</w:t>
      </w:r>
      <w:r w:rsidR="00BE2EAA" w:rsidRPr="007A77EF">
        <w:rPr>
          <w:color w:val="auto"/>
          <w:lang w:val="en-GB"/>
        </w:rPr>
        <w:t xml:space="preserve">. Art experts, on the other hand, </w:t>
      </w:r>
      <w:r w:rsidR="00FC590B" w:rsidRPr="007A77EF">
        <w:rPr>
          <w:color w:val="auto"/>
          <w:lang w:val="en-GB"/>
        </w:rPr>
        <w:t>can</w:t>
      </w:r>
      <w:r w:rsidR="00BE2EAA" w:rsidRPr="007A77EF">
        <w:rPr>
          <w:color w:val="auto"/>
          <w:lang w:val="en-GB"/>
        </w:rPr>
        <w:t xml:space="preserve"> draw </w:t>
      </w:r>
      <w:r w:rsidR="00FC590B" w:rsidRPr="007A77EF">
        <w:rPr>
          <w:color w:val="auto"/>
          <w:lang w:val="en-GB"/>
        </w:rPr>
        <w:t>upon</w:t>
      </w:r>
      <w:r w:rsidR="00BE2EAA" w:rsidRPr="007A77EF">
        <w:rPr>
          <w:color w:val="auto"/>
          <w:lang w:val="en-GB"/>
        </w:rPr>
        <w:t xml:space="preserve"> their professional knowledge (e.g. style, technique, knowledge of the period or painter) in order to derive </w:t>
      </w:r>
      <w:r w:rsidR="00FC590B" w:rsidRPr="007A77EF">
        <w:rPr>
          <w:color w:val="auto"/>
          <w:lang w:val="en-GB"/>
        </w:rPr>
        <w:t xml:space="preserve">a level of </w:t>
      </w:r>
      <w:r w:rsidR="00BE2EAA" w:rsidRPr="007A77EF">
        <w:rPr>
          <w:color w:val="auto"/>
          <w:lang w:val="en-GB"/>
        </w:rPr>
        <w:t xml:space="preserve">meaning that is </w:t>
      </w:r>
      <w:r w:rsidR="00FC590B" w:rsidRPr="007A77EF">
        <w:rPr>
          <w:color w:val="auto"/>
          <w:lang w:val="en-GB"/>
        </w:rPr>
        <w:t>distinct</w:t>
      </w:r>
      <w:r w:rsidR="00BE2EAA" w:rsidRPr="007A77EF">
        <w:rPr>
          <w:color w:val="auto"/>
          <w:lang w:val="en-GB"/>
        </w:rPr>
        <w:t xml:space="preserve"> from </w:t>
      </w:r>
      <w:r w:rsidR="00FC590B" w:rsidRPr="007A77EF">
        <w:rPr>
          <w:color w:val="auto"/>
          <w:lang w:val="en-GB"/>
        </w:rPr>
        <w:t>emotion or autobiographical memory</w:t>
      </w:r>
      <w:r w:rsidR="00314059" w:rsidRPr="007A77EF">
        <w:rPr>
          <w:color w:val="auto"/>
          <w:lang w:val="en-GB"/>
        </w:rPr>
        <w:t xml:space="preserve"> </w:t>
      </w:r>
      <w:r w:rsidR="00314059" w:rsidRPr="007A77EF">
        <w:rPr>
          <w:color w:val="auto"/>
        </w:rPr>
        <w:fldChar w:fldCharType="begin" w:fldLock="1"/>
      </w:r>
      <w:r w:rsidR="000C06E2" w:rsidRPr="007A77EF">
        <w:rPr>
          <w:color w:val="auto"/>
          <w:lang w:val="en-GB"/>
        </w:rPr>
        <w:instrText>ADDIN CSL_CITATION { "citationItems" : [ { "id" : "ITEM-1", "itemData" : { "DOI" : "10.1348/0007126042369811", "ISSN" : "0007-1269", "PMID" : "15527534", "abstract" : "Although aesthetic experiences are frequent in modern life, there is as of yet no scientifically comprehensive theory that explains what psychologically constitutes such experiences. These experiences are particularly interesting because of their hedonic properties and the possibility to provide self-rewarding cognitive operations. We shall explain why modern art's large number of individualized styles, innovativeness and conceptuality offer positive aesthetic experiences. Moreover, the challenge of art is mainly driven by a need for understanding. Cognitive challenges of both abstract art and other conceptual, complex and multidimensional stimuli require an extension of previous approaches to empirical aesthetics. We present an information-processing stage model of aesthetic processing. According to the model, aesthetic experiences involve five stages: perception, explicit classification, implicit classification, cognitive mastering and evaluation. The model differentiates between aesthetic emotion and aesthetic judgments as two types of output.", "author" : [ { "dropping-particle" : "", "family" : "Leder", "given" : "Helmut", "non-dropping-particle" : "", "parse-names" : false, "suffix" : "" }, { "dropping-particle" : "", "family" : "Belke", "given" : "Benno", "non-dropping-particle" : "", "parse-names" : false, "suffix" : "" }, { "dropping-particle" : "", "family" : "Oeberst", "given" : "Andries", "non-dropping-particle" : "", "parse-names" : false, "suffix" : "" }, { "dropping-particle" : "", "family" : "Augustin", "given" : "Dorothee", "non-dropping-particle" : "", "parse-names" : false, "suffix" : "" } ], "container-title" : "British journal of psychology (London, England : 1953)", "id" : "ITEM-1", "issue" : "Pt 4", "issued" : { "date-parts" : [ [ "2004", "11" ] ] }, "page" : "489-508", "title" : "A model of aesthetic appreciation and aesthetic judgments.", "type" : "article-journal", "volume" : "95" }, "uris" : [ "http://www.mendeley.com/documents/?uuid=ba89a54d-ac58-447d-ae76-7040d0f0a123" ] }, { "id" : "ITEM-2", "itemData" : { "DOI" : "10.1037/a0031585", "ISSN" : "1931-390X", "author" : [ { "dropping-particle" : "", "family" : "Leder", "given" : "Helmut", "non-dropping-particle" : "", "parse-names" : false, "suffix" : "" } ], "container-title" : "Psychology of Aesthetics, Creativity, and the Arts", "id" : "ITEM-2", "issue" : "1", "issued" : { "date-parts" : [ [ "2013" ] ] }, "page" : "27-37", "title" : "Next steps in neuroaesthetics: Which processes and processing stages to study?", "type" : "article-journal", "volume" : "7" }, "uris" : [ "http://www.mendeley.com/documents/?uuid=226bd4cc-62a2-4604-8be7-2974d9826cca" ] } ], "mendeley" : { "formattedCitation" : "(Leder, Belke, Oeberst, &amp; Augustin, 2004; Leder, 2013)", "plainTextFormattedCitation" : "(Leder, Belke, Oeberst, &amp; Augustin, 2004; Leder, 2013)", "previouslyFormattedCitation" : "(Leder, Belke, Oeberst, &amp; Augustin, 2004; Leder, 2013)" }, "properties" : { "noteIndex" : 0 }, "schema" : "https://github.com/citation-style-language/schema/raw/master/csl-citation.json" }</w:instrText>
      </w:r>
      <w:r w:rsidR="00314059" w:rsidRPr="007A77EF">
        <w:rPr>
          <w:color w:val="auto"/>
        </w:rPr>
        <w:fldChar w:fldCharType="separate"/>
      </w:r>
      <w:r w:rsidR="00314059" w:rsidRPr="007A77EF">
        <w:rPr>
          <w:noProof/>
          <w:color w:val="auto"/>
          <w:lang w:val="en-GB"/>
        </w:rPr>
        <w:t>(Leder, Belke, Oeberst, &amp; Augustin, 2004; Leder, 2013)</w:t>
      </w:r>
      <w:r w:rsidR="00314059" w:rsidRPr="007A77EF">
        <w:rPr>
          <w:color w:val="auto"/>
        </w:rPr>
        <w:fldChar w:fldCharType="end"/>
      </w:r>
      <w:r w:rsidRPr="007A77EF">
        <w:rPr>
          <w:color w:val="auto"/>
          <w:lang w:val="en-GB"/>
        </w:rPr>
        <w:t xml:space="preserve">. </w:t>
      </w:r>
      <w:r w:rsidR="009D67B9" w:rsidRPr="007A77EF">
        <w:rPr>
          <w:color w:val="auto"/>
          <w:lang w:val="en-GB"/>
        </w:rPr>
        <w:t xml:space="preserve">There is evidence from neuroscientific studies to support this </w:t>
      </w:r>
      <w:r w:rsidR="00834D53" w:rsidRPr="007A77EF">
        <w:rPr>
          <w:color w:val="auto"/>
          <w:lang w:val="en-GB"/>
        </w:rPr>
        <w:t>distinction</w:t>
      </w:r>
      <w:r w:rsidR="009D67B9" w:rsidRPr="007A77EF">
        <w:rPr>
          <w:color w:val="auto"/>
          <w:lang w:val="en-GB"/>
        </w:rPr>
        <w:t>.</w:t>
      </w:r>
      <w:r w:rsidR="00B57899" w:rsidRPr="007A77EF">
        <w:rPr>
          <w:color w:val="auto"/>
          <w:lang w:val="en-GB"/>
        </w:rPr>
        <w:t xml:space="preserve"> </w:t>
      </w:r>
      <w:r w:rsidR="00B57899" w:rsidRPr="007A77EF">
        <w:rPr>
          <w:color w:val="auto"/>
          <w:lang w:val="en-GB"/>
        </w:rPr>
        <w:fldChar w:fldCharType="begin" w:fldLock="1"/>
      </w:r>
      <w:r w:rsidR="001D689F" w:rsidRPr="007A77EF">
        <w:rPr>
          <w:color w:val="auto"/>
          <w:lang w:val="en-GB"/>
        </w:rPr>
        <w:instrText>ADDIN CSL_CITATION { "citationItems" : [ { "id" : "ITEM-1", "itemData" : { "DOI" : "10.1016/j.bandc.2008.08.004", "ISSN" : "1090-2147", "PMID" : "18783864", "abstract" : "Several studies have demonstrated that acquired expertise influences aesthetic judgments. In this paradigm we used functional magnetic resonance imaging (fMRI) to study aesthetic judgments of visually presented architectural stimuli and control-stimuli (faces) for a group of architects and a group of non-architects. This design allowed us to test whether level of expertise modulates neural activity in brain areas associated with either perceptual processing, memory, or reward processing. We show that experts and non-experts recruit bilateral medial orbitofrontal cortex (OFC) and subcallosal cingulate gyrus differentially during aesthetic judgment, even in the absence of behavioural aesthetic rating differences between experts and non-experts. By contrast, activity in nucleus accumbens (NAcc) exhibits a differential response profile compared to OFC and subcallosal cingulate gyrus, suggesting a dissociable role between these regions in the reward processing of expertise. Finally, categorical responses (irrespective of aesthetic ratings) resulted in expertise effects in memory-related areas such as hippocampus and precuneus. These results highlight the fact that expertise not only modulates cognitive processing, but also modulates the response in reward related brain areas.", "author" : [ { "dropping-particle" : "", "family" : "Kirk", "given" : "Ulrich", "non-dropping-particle" : "", "parse-names" : false, "suffix" : "" }, { "dropping-particle" : "", "family" : "Skov", "given" : "Martin", "non-dropping-particle" : "", "parse-names" : false, "suffix" : "" }, { "dropping-particle" : "", "family" : "Christensen", "given" : "MS Mark Schram", "non-dropping-particle" : "", "parse-names" : false, "suffix" : "" }, { "dropping-particle" : "", "family" : "Nygaard", "given" : "Niels", "non-dropping-particle" : "", "parse-names" : false, "suffix" : "" } ], "container-title" : "Brain and cognition", "id" : "ITEM-1", "issue" : "2", "issued" : { "date-parts" : [ [ "2009", "3" ] ] }, "note" : "From Duplicate 2 ( ", "page" : "306-15", "publisher" : "Elsevier Inc.", "title" : "Brain correlates of aesthetic expertise: a parametric fMRI study.", "type" : "article-journal", "volume" : "69" }, "uris" : [ "http://www.mendeley.com/documents/?uuid=76036c81-9e50-46a0-877e-defd4d9db041" ] } ], "mendeley" : { "formattedCitation" : "(Kirk, Skov, Christensen, &amp; Nygaard, 2009)", "manualFormatting" : "Kirk, Skov, Christensen and Nygaard (2009)", "plainTextFormattedCitation" : "(Kirk, Skov, Christensen, &amp; Nygaard, 2009)", "previouslyFormattedCitation" : "(Kirk, Skov, Christensen, &amp; Nygaard, 2009)" }, "properties" : { "noteIndex" : 0 }, "schema" : "https://github.com/citation-style-language/schema/raw/master/csl-citation.json" }</w:instrText>
      </w:r>
      <w:r w:rsidR="00B57899" w:rsidRPr="007A77EF">
        <w:rPr>
          <w:color w:val="auto"/>
          <w:lang w:val="en-GB"/>
        </w:rPr>
        <w:fldChar w:fldCharType="separate"/>
      </w:r>
      <w:r w:rsidR="00B57899" w:rsidRPr="007A77EF">
        <w:rPr>
          <w:noProof/>
          <w:color w:val="auto"/>
          <w:lang w:val="en-GB"/>
        </w:rPr>
        <w:t>Kirk, Skov, Christensen and Nygaard (2009)</w:t>
      </w:r>
      <w:r w:rsidR="00B57899" w:rsidRPr="007A77EF">
        <w:rPr>
          <w:color w:val="auto"/>
          <w:lang w:val="en-GB"/>
        </w:rPr>
        <w:fldChar w:fldCharType="end"/>
      </w:r>
      <w:r w:rsidR="009D67B9" w:rsidRPr="007A77EF">
        <w:rPr>
          <w:color w:val="auto"/>
          <w:lang w:val="en-GB"/>
        </w:rPr>
        <w:t xml:space="preserve"> </w:t>
      </w:r>
      <w:r w:rsidR="00A921E2" w:rsidRPr="007A77EF">
        <w:rPr>
          <w:color w:val="auto"/>
          <w:lang w:val="en-GB"/>
        </w:rPr>
        <w:t xml:space="preserve">demonstrated that </w:t>
      </w:r>
      <w:r w:rsidR="00834D53" w:rsidRPr="007A77EF">
        <w:rPr>
          <w:color w:val="auto"/>
          <w:lang w:val="en-GB"/>
        </w:rPr>
        <w:t xml:space="preserve">activation in </w:t>
      </w:r>
      <w:r w:rsidR="00A921E2" w:rsidRPr="007A77EF">
        <w:rPr>
          <w:color w:val="auto"/>
          <w:lang w:val="en-GB"/>
        </w:rPr>
        <w:t>memory</w:t>
      </w:r>
      <w:r w:rsidR="00FC590B" w:rsidRPr="007A77EF">
        <w:rPr>
          <w:color w:val="auto"/>
          <w:lang w:val="en-GB"/>
        </w:rPr>
        <w:t>-</w:t>
      </w:r>
      <w:r w:rsidR="00A921E2" w:rsidRPr="007A77EF">
        <w:rPr>
          <w:color w:val="auto"/>
          <w:lang w:val="en-GB"/>
        </w:rPr>
        <w:t>related areas</w:t>
      </w:r>
      <w:r w:rsidR="00834D53" w:rsidRPr="007A77EF">
        <w:rPr>
          <w:color w:val="auto"/>
          <w:lang w:val="en-GB"/>
        </w:rPr>
        <w:t>,</w:t>
      </w:r>
      <w:r w:rsidR="00A921E2" w:rsidRPr="007A77EF">
        <w:rPr>
          <w:color w:val="auto"/>
          <w:lang w:val="en-GB"/>
        </w:rPr>
        <w:t xml:space="preserve"> such as the hippocampus and precuneus, </w:t>
      </w:r>
      <w:r w:rsidR="00834D53" w:rsidRPr="007A77EF">
        <w:rPr>
          <w:color w:val="auto"/>
          <w:lang w:val="en-GB"/>
        </w:rPr>
        <w:t>occurred only in art experts.</w:t>
      </w:r>
      <w:r w:rsidR="00A921E2" w:rsidRPr="007A77EF">
        <w:rPr>
          <w:color w:val="auto"/>
          <w:lang w:val="en-GB"/>
        </w:rPr>
        <w:t xml:space="preserve"> </w:t>
      </w:r>
      <w:r w:rsidR="00834D53" w:rsidRPr="007A77EF">
        <w:rPr>
          <w:color w:val="auto"/>
          <w:lang w:val="en-GB"/>
        </w:rPr>
        <w:t xml:space="preserve">Alternatively, </w:t>
      </w:r>
      <w:r w:rsidR="009D67B9" w:rsidRPr="007A77EF">
        <w:rPr>
          <w:color w:val="auto"/>
        </w:rPr>
        <w:fldChar w:fldCharType="begin" w:fldLock="1"/>
      </w:r>
      <w:r w:rsidR="000C06E2" w:rsidRPr="007A77EF">
        <w:rPr>
          <w:color w:val="auto"/>
          <w:lang w:val="en-GB"/>
        </w:rPr>
        <w:instrText>ADDIN CSL_CITATION { "citationItems" : [ { "id" : "ITEM-1", "itemData" : { "DOI" : "10.3389/fnhum.2012.00066", "ISSN" : "1662-5161", "PMID" : "22529785", "abstract" : "Aesthetic responses to visual art comprise multiple types of experiences, from sensation and perception to emotion and self-reflection. Moreover, aesthetic experience is highly individual, with observers varying significantly in their responses to the same artwork. Combining fMRI and behavioral analysis of individual differences in aesthetic response, we identify two distinct patterns of neural activity exhibited by different sub-networks. Activity increased linearly with observers' ratings (4-level scale) in sensory (occipito-temporal) regions. Activity in the striatum (STR) also varied linearly with ratings, with below-baseline activations for low-rated artworks. In contrast, a network of frontal regions showed a step-like increase only for the most moving artworks (\"4\" ratings) and non-differential activity for all others. This included several regions belonging to the \"default mode network\" (DMN) previously associated with self-referential mentation. Our results suggest that aesthetic experience involves the integration of sensory and emotional reactions in a manner linked with their personal relevance.", "author" : [ { "dropping-particle" : "", "family" : "Vessel", "given" : "E", "non-dropping-particle" : "", "parse-names" : false, "suffix" : "" }, { "dropping-particle" : "", "family" : "Starr", "given" : "G Gabrielle", "non-dropping-particle" : "", "parse-names" : false, "suffix" : "" }, { "dropping-particle" : "", "family" : "Rubin", "given" : "Nava", "non-dropping-particle" : "", "parse-names" : false, "suffix" : "" } ], "container-title" : "Frontiers in human neuroscience", "id" : "ITEM-1", "issue" : "April", "issued" : { "date-parts" : [ [ "2012", "1" ] ] }, "page" : "66", "title" : "The brain on art: intense aesthetic experience activates the default mode network.", "type" : "article-journal", "volume" : "6" }, "uris" : [ "http://www.mendeley.com/documents/?uuid=78f3d4aa-cad3-414c-97b3-4c6dba184ee0" ] } ], "mendeley" : { "formattedCitation" : "(E. Vessel, Starr, &amp; Rubin, 2012)", "manualFormatting" : "Vessel, Starr and Rubin (2012)", "plainTextFormattedCitation" : "(E. Vessel, Starr, &amp; Rubin, 2012)", "previouslyFormattedCitation" : "(E. Vessel, Starr, &amp; Rubin, 2012)" }, "properties" : { "noteIndex" : 0 }, "schema" : "https://github.com/citation-style-language/schema/raw/master/csl-citation.json" }</w:instrText>
      </w:r>
      <w:r w:rsidR="009D67B9" w:rsidRPr="007A77EF">
        <w:rPr>
          <w:color w:val="auto"/>
        </w:rPr>
        <w:fldChar w:fldCharType="separate"/>
      </w:r>
      <w:r w:rsidR="009D67B9" w:rsidRPr="007A77EF">
        <w:rPr>
          <w:noProof/>
          <w:color w:val="auto"/>
          <w:lang w:val="en-GB"/>
        </w:rPr>
        <w:t>Vessel, Starr and Rubin (2012)</w:t>
      </w:r>
      <w:r w:rsidR="009D67B9" w:rsidRPr="007A77EF">
        <w:rPr>
          <w:color w:val="auto"/>
        </w:rPr>
        <w:fldChar w:fldCharType="end"/>
      </w:r>
      <w:r w:rsidR="009D67B9" w:rsidRPr="007A77EF">
        <w:rPr>
          <w:color w:val="auto"/>
          <w:lang w:val="en-GB"/>
        </w:rPr>
        <w:t xml:space="preserve"> </w:t>
      </w:r>
      <w:r w:rsidR="00FC590B" w:rsidRPr="007A77EF">
        <w:rPr>
          <w:color w:val="auto"/>
          <w:lang w:val="en-GB"/>
        </w:rPr>
        <w:t>reported</w:t>
      </w:r>
      <w:r w:rsidR="00834D53" w:rsidRPr="007A77EF">
        <w:rPr>
          <w:color w:val="auto"/>
          <w:lang w:val="en-GB"/>
        </w:rPr>
        <w:t xml:space="preserve"> </w:t>
      </w:r>
      <w:r w:rsidR="009D67B9" w:rsidRPr="007A77EF">
        <w:rPr>
          <w:color w:val="auto"/>
          <w:lang w:val="en-GB"/>
        </w:rPr>
        <w:t>increased activation in the medial rostral prefrontal cortex (rPFC</w:t>
      </w:r>
      <w:r w:rsidR="00851549" w:rsidRPr="007A77EF">
        <w:rPr>
          <w:color w:val="auto"/>
          <w:lang w:val="en-GB"/>
        </w:rPr>
        <w:t>, BA10</w:t>
      </w:r>
      <w:r w:rsidR="009D67B9" w:rsidRPr="007A77EF">
        <w:rPr>
          <w:color w:val="auto"/>
          <w:lang w:val="en-GB"/>
        </w:rPr>
        <w:t>)</w:t>
      </w:r>
      <w:r w:rsidR="00A921E2" w:rsidRPr="007A77EF">
        <w:rPr>
          <w:color w:val="auto"/>
          <w:lang w:val="en-GB"/>
        </w:rPr>
        <w:t>, an area related to emotional and self-relevant processing</w:t>
      </w:r>
      <w:r w:rsidR="00B57899" w:rsidRPr="007A77EF">
        <w:rPr>
          <w:color w:val="auto"/>
          <w:lang w:val="en-GB"/>
        </w:rPr>
        <w:t xml:space="preserve"> </w:t>
      </w:r>
      <w:r w:rsidR="00B57899" w:rsidRPr="007A77EF">
        <w:rPr>
          <w:color w:val="auto"/>
          <w:lang w:val="en-GB"/>
        </w:rPr>
        <w:fldChar w:fldCharType="begin" w:fldLock="1"/>
      </w:r>
      <w:r w:rsidR="000C06E2" w:rsidRPr="007A77EF">
        <w:rPr>
          <w:color w:val="auto"/>
          <w:lang w:val="en-GB"/>
        </w:rPr>
        <w:instrText>ADDIN CSL_CITATION { "citationItems" : [ { "id" : "ITEM-1", "itemData" : { "DOI" : "10.1016/j.tics.2005.03.010", "ISSN" : "1364-6613", "PMID" : "15866151", "abstract" : "The capacity to control emotion is important for human adaptation. Questions about the neural bases of emotion regulation have recently taken on new importance, as functional imaging studies in humans have permitted direct investigation of control strategies that draw upon higher cognitive processes difficult to study in nonhumans. Such studies have examined (1) controlling attention to, and (2) cognitively changing the meaning of, emotionally evocative stimuli. These two forms of emotion regulation depend upon interactions between prefrontal and cingulate control systems and cortical and subcortical emotion-generative systems. Taken together, the results suggest a functional architecture for the cognitive control of emotion that dovetails with findings from other human and nonhuman research on emotion.", "author" : [ { "dropping-particle" : "", "family" : "Ochsner", "given" : "K N", "non-dropping-particle" : "", "parse-names" : false, "suffix" : "" }, { "dropping-particle" : "", "family" : "Gross", "given" : "J J", "non-dropping-particle" : "", "parse-names" : false, "suffix" : "" } ], "container-title" : "Trends in cognitive sciences", "id" : "ITEM-1", "issue" : "5", "issued" : { "date-parts" : [ [ "2005", "5" ] ] }, "page" : "242-9", "title" : "The cognitive control of emotion.", "type" : "article-journal", "volume" : "9" }, "uris" : [ "http://www.mendeley.com/documents/?uuid=154245d8-0e5e-41e4-bafc-ba272855d0ba" ] } ], "mendeley" : { "formattedCitation" : "(Ochsner &amp; Gross, 2005)", "plainTextFormattedCitation" : "(Ochsner &amp; Gross, 2005)", "previouslyFormattedCitation" : "(Ochsner &amp; Gross, 2005)" }, "properties" : { "noteIndex" : 0 }, "schema" : "https://github.com/citation-style-language/schema/raw/master/csl-citation.json" }</w:instrText>
      </w:r>
      <w:r w:rsidR="00B57899" w:rsidRPr="007A77EF">
        <w:rPr>
          <w:color w:val="auto"/>
          <w:lang w:val="en-GB"/>
        </w:rPr>
        <w:fldChar w:fldCharType="separate"/>
      </w:r>
      <w:r w:rsidR="00B57899" w:rsidRPr="007A77EF">
        <w:rPr>
          <w:noProof/>
          <w:color w:val="auto"/>
          <w:lang w:val="en-GB"/>
        </w:rPr>
        <w:t>(Ochsner &amp; Gross, 2005)</w:t>
      </w:r>
      <w:r w:rsidR="00B57899" w:rsidRPr="007A77EF">
        <w:rPr>
          <w:color w:val="auto"/>
          <w:lang w:val="en-GB"/>
        </w:rPr>
        <w:fldChar w:fldCharType="end"/>
      </w:r>
      <w:r w:rsidR="00A921E2" w:rsidRPr="007A77EF">
        <w:rPr>
          <w:color w:val="auto"/>
          <w:lang w:val="en-GB"/>
        </w:rPr>
        <w:t>,</w:t>
      </w:r>
      <w:r w:rsidR="009D67B9" w:rsidRPr="007A77EF">
        <w:rPr>
          <w:color w:val="auto"/>
          <w:lang w:val="en-GB"/>
        </w:rPr>
        <w:t xml:space="preserve"> during </w:t>
      </w:r>
      <w:r w:rsidR="00FC590B" w:rsidRPr="007A77EF">
        <w:rPr>
          <w:color w:val="auto"/>
          <w:lang w:val="en-GB"/>
        </w:rPr>
        <w:t>an</w:t>
      </w:r>
      <w:r w:rsidR="009D67B9" w:rsidRPr="007A77EF">
        <w:rPr>
          <w:color w:val="auto"/>
          <w:lang w:val="en-GB"/>
        </w:rPr>
        <w:t xml:space="preserve"> </w:t>
      </w:r>
      <w:r w:rsidR="007632E3" w:rsidRPr="007A77EF">
        <w:rPr>
          <w:color w:val="auto"/>
          <w:lang w:val="en-GB"/>
        </w:rPr>
        <w:t>evaluation</w:t>
      </w:r>
      <w:r w:rsidR="009D67B9" w:rsidRPr="007A77EF">
        <w:rPr>
          <w:color w:val="auto"/>
          <w:lang w:val="en-GB"/>
        </w:rPr>
        <w:t xml:space="preserve"> of artworks that were experienced as intense by art na</w:t>
      </w:r>
      <w:r w:rsidR="009D67B9" w:rsidRPr="007A77EF">
        <w:rPr>
          <w:rFonts w:hAnsi="Times New Roman"/>
          <w:color w:val="auto"/>
          <w:lang w:val="en-GB"/>
        </w:rPr>
        <w:t>ï</w:t>
      </w:r>
      <w:r w:rsidR="00BE2EAA" w:rsidRPr="007A77EF">
        <w:rPr>
          <w:color w:val="auto"/>
          <w:lang w:val="en-GB"/>
        </w:rPr>
        <w:t>ve viewers</w:t>
      </w:r>
      <w:r w:rsidR="00EB78A8" w:rsidRPr="007A77EF">
        <w:rPr>
          <w:color w:val="auto"/>
          <w:lang w:val="en-GB"/>
        </w:rPr>
        <w:t xml:space="preserve">. </w:t>
      </w:r>
    </w:p>
    <w:p w14:paraId="6486915D" w14:textId="2F14E8A0" w:rsidR="001F79FC" w:rsidRPr="007A77EF" w:rsidRDefault="00925563" w:rsidP="004F5A6C">
      <w:pPr>
        <w:pStyle w:val="BodyA"/>
        <w:spacing w:line="480" w:lineRule="auto"/>
        <w:ind w:firstLine="720"/>
        <w:rPr>
          <w:color w:val="auto"/>
        </w:rPr>
      </w:pPr>
      <w:r w:rsidRPr="007A77EF">
        <w:rPr>
          <w:color w:val="auto"/>
          <w:lang w:val="en-GB"/>
        </w:rPr>
        <w:t xml:space="preserve">The interaction between emotion and cognition </w:t>
      </w:r>
      <w:r w:rsidR="00FC590B" w:rsidRPr="007A77EF">
        <w:rPr>
          <w:color w:val="auto"/>
          <w:lang w:val="en-GB"/>
        </w:rPr>
        <w:t>during the processing of aesthetic experience has a long history</w:t>
      </w:r>
      <w:r w:rsidRPr="007A77EF">
        <w:rPr>
          <w:color w:val="auto"/>
          <w:lang w:val="en-GB"/>
        </w:rPr>
        <w:t>.</w:t>
      </w:r>
      <w:r w:rsidR="00FC590B" w:rsidRPr="007A77EF">
        <w:rPr>
          <w:color w:val="auto"/>
          <w:lang w:val="en-GB"/>
        </w:rPr>
        <w:t xml:space="preserve">  </w:t>
      </w:r>
      <w:r w:rsidR="00BA3404" w:rsidRPr="007A77EF">
        <w:rPr>
          <w:color w:val="auto"/>
          <w:lang w:val="en-GB"/>
        </w:rPr>
        <w:t>The level of interest in an object has been characterised as an interaction between affective stimulation and cognitive engagement</w:t>
      </w:r>
      <w:r w:rsidR="000010A2" w:rsidRPr="007A77EF">
        <w:rPr>
          <w:color w:val="auto"/>
          <w:lang w:val="en-GB"/>
        </w:rPr>
        <w:t xml:space="preserve"> </w:t>
      </w:r>
      <w:r w:rsidR="000010A2" w:rsidRPr="007A77EF">
        <w:rPr>
          <w:color w:val="auto"/>
          <w:lang w:val="en-GB"/>
        </w:rPr>
        <w:fldChar w:fldCharType="begin" w:fldLock="1"/>
      </w:r>
      <w:r w:rsidR="000010A2" w:rsidRPr="007A77EF">
        <w:rPr>
          <w:color w:val="auto"/>
          <w:lang w:val="en-GB"/>
        </w:rPr>
        <w:instrText>ADDIN CSL_CITATION { "citationItems" : [ { "id" : "ITEM-1", "itemData" : { "author" : [ { "dropping-particle" : "", "family" : "Engle", "given" : "J. S.", "non-dropping-particle" : "", "parse-names" : false, "suffix" : "" } ], "id" : "ITEM-1", "issued" : { "date-parts" : [ [ "1904" ] ] }, "publisher" : "King Brothers", "publisher-place" : "Baltimore", "title" : "Analytic Interest Psychology and Synthetic Philosophy", "type" : "book" }, "uris" : [ "http://www.mendeley.com/documents/?uuid=94a0d39d-a957-40e4-aaf0-94355a670890" ] } ], "mendeley" : { "formattedCitation" : "(Engle, 1904)", "plainTextFormattedCitation" : "(Engle, 1904)" }, "properties" : { "noteIndex" : 0 }, "schema" : "https://github.com/citation-style-language/schema/raw/master/csl-citation.json" }</w:instrText>
      </w:r>
      <w:r w:rsidR="000010A2" w:rsidRPr="007A77EF">
        <w:rPr>
          <w:color w:val="auto"/>
          <w:lang w:val="en-GB"/>
        </w:rPr>
        <w:fldChar w:fldCharType="separate"/>
      </w:r>
      <w:r w:rsidR="000010A2" w:rsidRPr="007A77EF">
        <w:rPr>
          <w:noProof/>
          <w:color w:val="auto"/>
          <w:lang w:val="en-GB"/>
        </w:rPr>
        <w:t>(Engle, 1904)</w:t>
      </w:r>
      <w:r w:rsidR="000010A2" w:rsidRPr="007A77EF">
        <w:rPr>
          <w:color w:val="auto"/>
          <w:lang w:val="en-GB"/>
        </w:rPr>
        <w:fldChar w:fldCharType="end"/>
      </w:r>
      <w:r w:rsidR="00BA3404" w:rsidRPr="007A77EF">
        <w:rPr>
          <w:color w:val="auto"/>
          <w:lang w:val="en-GB"/>
        </w:rPr>
        <w:t xml:space="preserve">.  </w:t>
      </w:r>
      <w:r w:rsidRPr="007A77EF">
        <w:rPr>
          <w:color w:val="auto"/>
          <w:lang w:val="en-GB"/>
        </w:rPr>
        <w:t xml:space="preserve">The </w:t>
      </w:r>
      <w:r w:rsidR="00BA3404" w:rsidRPr="007A77EF">
        <w:rPr>
          <w:color w:val="auto"/>
          <w:lang w:val="en-GB"/>
        </w:rPr>
        <w:t xml:space="preserve">biological process underpinning this interaction between cognition and emotion during aesthetic experience was explored by Berlyne (1960).  </w:t>
      </w:r>
      <w:r w:rsidRPr="007A77EF">
        <w:rPr>
          <w:color w:val="auto"/>
          <w:lang w:val="en-GB"/>
        </w:rPr>
        <w:t xml:space="preserve">More recently, cognitive and emotional aspects of the aesthetic experience have been investigated separately and in conjunction (e.g. </w:t>
      </w:r>
      <w:r w:rsidR="004726F3" w:rsidRPr="007A77EF">
        <w:rPr>
          <w:color w:val="auto"/>
          <w:lang w:val="en-GB"/>
        </w:rPr>
        <w:fldChar w:fldCharType="begin" w:fldLock="1"/>
      </w:r>
      <w:r w:rsidR="00FB76AD" w:rsidRPr="007A77EF">
        <w:rPr>
          <w:color w:val="auto"/>
          <w:lang w:val="en-GB"/>
        </w:rPr>
        <w:instrText>ADDIN CSL_CITATION { "citationItems" : [ { "id" : "ITEM-1", "itemData" : { "abstract" : "While accounts of \" aesthetic\" experience inspire art study and drive its cognitive goals the current modeling of art perception, based on the analytic tradition emphasizing successful assimilation of art information, is unable to truly address this phenomenon, leaving us without means of accounting for disruption and fundamental change-either perceptual or self-referential-as well as epiphany and insight, within the experience of art; and no means of addressing 'art's ability to mark and change lives. To address this, we introduce a five-stage model of art-perception, organized around initial disruption and subsequent meta-cognitive reflection and self-transformation, which allows for this needed discussion of perceptual and conceptual change, and a connection of art-viewing to viewer personality. Based on this, we consider belletristic accounts of aesthetic experience, and discuss the inter-relation of emotional, cognitive and appraisal factors that may be important for objective research. ?? 2010.", "author" : [ { "dropping-particle" : "", "family" : "Pelowski", "given" : "Matthew", "non-dropping-particle" : "", "parse-names" : false, "suffix" : "" }, { "dropping-particle" : "", "family" : "Akiba", "given" : "Fuminori", "non-dropping-particle" : "", "parse-names" : false, "suffix" : "" } ], "container-title" : "New Ideas in Psychology", "id" : "ITEM-1", "issue" : "2", "issued" : { "date-parts" : [ [ "2011" ] ] }, "page" : "80-97", "title" : "A model of art perception, evaluation and emotion in transformative aesthetic experience", "type" : "article-journal", "volume" : "29" }, "uris" : [ "http://www.mendeley.com/documents/?uuid=928d96a0-54cc-4293-b20c-b1bacfc0d7e7" ] }, { "id" : "ITEM-2", "itemData" : { "abstract" : "(from the chapter) This chapter will review some of the major theories and themes in the psychological study of aesthetic experience, usually known as empirical aesthetics. I'll do so with a critical eye on the prevailing assumptions and methods of this field. Interdisciplinary work in psychology often means \"You guys should pay attention to what we're up to in psych\u2014it's good stuff.\" A more humble interdisciplinary approach should find value in the criticisms and contributions that come from without. Scholars in other areas find a lot of fault with the scientific study of aesthetics, and they're onto something. The chapter starts with some background on what psychology usually means by aesthetic experience and why I think this meaning is limited and impoverished. After that, we'll review the most influential theories in empirical aesthetics and consider their shortcomings. Finally, I'll discuss an appraisal approach to aesthetic emotions. This model resolves some of the field's problems and affords stronger connections with other fields, but it doesn't yet address everything that a theory of aesthetic experience ought to address. (PsycINFO Database Record (c) 2012 APA, all rights reserved) (chapter)", "author" : [ { "dropping-particle" : "", "family" : "Silvia", "given" : "Paul", "non-dropping-particle" : "", "parse-names" : false, "suffix" : "" } ], "container-title" : "Aesthetic science: Connecting minds, brains, and experience.", "editor" : [ { "dropping-particle" : "", "family" : "Shimamura", "given" : "Arthur", "non-dropping-particle" : "", "parse-names" : false, "suffix" : "" }, { "dropping-particle" : "", "family" : "Palmer", "given" : "Stephen", "non-dropping-particle" : "", "parse-names" : false, "suffix" : "" } ], "id" : "ITEM-2", "issued" : { "date-parts" : [ [ "2012" ] ] }, "page" : "250-275", "title" : "Human emotions and aesthetic experience: An overview of empirical aesthetics", "type" : "chapter" }, "uris" : [ "http://www.mendeley.com/documents/?uuid=5978dff2-e55c-4801-a81a-8687ecb874ef" ] } ], "mendeley" : { "formattedCitation" : "(Pelowski &amp; Akiba, 2011; Silvia, 2012)", "manualFormatting" : "Pelowski &amp; Akiba, 2011; Silvia, 2012)", "plainTextFormattedCitation" : "(Pelowski &amp; Akiba, 2011; Silvia, 2012)", "previouslyFormattedCitation" : "(Pelowski &amp; Akiba, 2011; Silvia, 2012)" }, "properties" : { "noteIndex" : 0 }, "schema" : "https://github.com/citation-style-language/schema/raw/master/csl-citation.json" }</w:instrText>
      </w:r>
      <w:r w:rsidR="004726F3" w:rsidRPr="007A77EF">
        <w:rPr>
          <w:color w:val="auto"/>
          <w:lang w:val="en-GB"/>
        </w:rPr>
        <w:fldChar w:fldCharType="separate"/>
      </w:r>
      <w:r w:rsidR="004726F3" w:rsidRPr="007A77EF">
        <w:rPr>
          <w:noProof/>
          <w:color w:val="auto"/>
          <w:lang w:val="en-GB"/>
        </w:rPr>
        <w:t>Pelowski &amp; Akiba, 2011; Silvia, 2012)</w:t>
      </w:r>
      <w:r w:rsidR="004726F3" w:rsidRPr="007A77EF">
        <w:rPr>
          <w:color w:val="auto"/>
          <w:lang w:val="en-GB"/>
        </w:rPr>
        <w:fldChar w:fldCharType="end"/>
      </w:r>
      <w:r w:rsidRPr="007A77EF">
        <w:rPr>
          <w:color w:val="auto"/>
          <w:lang w:val="en-GB"/>
        </w:rPr>
        <w:t>.</w:t>
      </w:r>
      <w:r w:rsidR="00BA3404" w:rsidRPr="007A77EF">
        <w:rPr>
          <w:color w:val="auto"/>
          <w:lang w:val="en-GB"/>
        </w:rPr>
        <w:t xml:space="preserve">  It has been argued that the capacity </w:t>
      </w:r>
      <w:r w:rsidR="00BA3404" w:rsidRPr="007A77EF">
        <w:rPr>
          <w:color w:val="auto"/>
          <w:lang w:val="en-GB"/>
        </w:rPr>
        <w:lastRenderedPageBreak/>
        <w:t>to relate intellectually and emotionally to a work of art is rooted in an interpretation of meaning that is derived from experience (</w:t>
      </w:r>
      <w:r w:rsidR="0076453D" w:rsidRPr="007A77EF">
        <w:rPr>
          <w:color w:val="auto"/>
          <w:lang w:val="en-GB"/>
        </w:rPr>
        <w:fldChar w:fldCharType="begin" w:fldLock="1"/>
      </w:r>
      <w:r w:rsidR="00FB76AD" w:rsidRPr="007A77EF">
        <w:rPr>
          <w:color w:val="auto"/>
          <w:lang w:val="en-GB"/>
        </w:rPr>
        <w:instrText>ADDIN CSL_CITATION { "citationItems" : [ { "id" : "ITEM-1", "itemData" : { "DOI" : "10.1016/j.tics.2007.02.003", "ISSN" : "1364-6613", "PMID" : "17347026", "abstract" : "The implications of the discovery of mirroring mechanisms and embodied simulation for empathetic responses to images in general, and to works of visual art in particular, have not yet been assessed. Here, we address this issue and we challenge the primacy of cognition in responses to art. We propose that a crucial element of esthetic response consists of the activation of embodied mechanisms encompassing the simulation of actions, emotions and corporeal sensation, and that these mechanisms are universal. This basic level of reaction to images is essential to understanding the effectiveness both of everyday images and of works of art. Historical, cultural and other contextual factors do not preclude the importance of considering the neural processes that arise in the empathetic understanding of visual artworks.", "author" : [ { "dropping-particle" : "", "family" : "Freedberg", "given" : "David", "non-dropping-particle" : "", "parse-names" : false, "suffix" : "" }, { "dropping-particle" : "", "family" : "Gallese", "given" : "Vittorio", "non-dropping-particle" : "", "parse-names" : false, "suffix" : "" } ], "container-title" : "Trends in cognitive sciences", "id" : "ITEM-1", "issue" : "5", "issued" : { "date-parts" : [ [ "2007", "5" ] ] }, "page" : "197-203", "title" : "Motion, emotion and empathy in esthetic experience.", "type" : "article-journal", "volume" : "11" }, "uris" : [ "http://www.mendeley.com/documents/?uuid=b3e8c2b0-39a9-446d-909d-6abb19e38ce8" ] } ], "mendeley" : { "formattedCitation" : "(Freedberg &amp; Gallese, 2007)", "manualFormatting" : "Freedberg and Gallese, 2007)", "plainTextFormattedCitation" : "(Freedberg &amp; Gallese, 2007)", "previouslyFormattedCitation" : "(Freedberg &amp; Gallese, 2007)" }, "properties" : { "noteIndex" : 0 }, "schema" : "https://github.com/citation-style-language/schema/raw/master/csl-citation.json" }</w:instrText>
      </w:r>
      <w:r w:rsidR="0076453D" w:rsidRPr="007A77EF">
        <w:rPr>
          <w:color w:val="auto"/>
          <w:lang w:val="en-GB"/>
        </w:rPr>
        <w:fldChar w:fldCharType="separate"/>
      </w:r>
      <w:r w:rsidR="0076453D" w:rsidRPr="007A77EF">
        <w:rPr>
          <w:noProof/>
          <w:color w:val="auto"/>
          <w:lang w:val="en-GB"/>
        </w:rPr>
        <w:t>Freedberg and Gallese</w:t>
      </w:r>
      <w:r w:rsidR="00BA3404" w:rsidRPr="007A77EF">
        <w:rPr>
          <w:noProof/>
          <w:color w:val="auto"/>
          <w:lang w:val="en-GB"/>
        </w:rPr>
        <w:t xml:space="preserve">, </w:t>
      </w:r>
      <w:r w:rsidR="0076453D" w:rsidRPr="007A77EF">
        <w:rPr>
          <w:noProof/>
          <w:color w:val="auto"/>
          <w:lang w:val="en-GB"/>
        </w:rPr>
        <w:t>2007)</w:t>
      </w:r>
      <w:r w:rsidR="0076453D" w:rsidRPr="007A77EF">
        <w:rPr>
          <w:color w:val="auto"/>
          <w:lang w:val="en-GB"/>
        </w:rPr>
        <w:fldChar w:fldCharType="end"/>
      </w:r>
      <w:r w:rsidR="00016768" w:rsidRPr="007A77EF">
        <w:rPr>
          <w:color w:val="auto"/>
          <w:lang w:val="en-GB"/>
        </w:rPr>
        <w:t>.</w:t>
      </w:r>
    </w:p>
    <w:p w14:paraId="5E3CD9B8" w14:textId="063CAAB8" w:rsidR="009D67B9" w:rsidRPr="007A77EF" w:rsidRDefault="0018689C" w:rsidP="00302562">
      <w:pPr>
        <w:pStyle w:val="BodyA"/>
        <w:spacing w:line="480" w:lineRule="auto"/>
        <w:ind w:firstLine="720"/>
        <w:rPr>
          <w:color w:val="auto"/>
          <w:lang w:val="en-GB"/>
        </w:rPr>
      </w:pPr>
      <w:r w:rsidRPr="007A77EF">
        <w:rPr>
          <w:color w:val="auto"/>
          <w:lang w:val="en-GB"/>
        </w:rPr>
        <w:t xml:space="preserve"> </w:t>
      </w:r>
      <w:r w:rsidR="00302562" w:rsidRPr="007A77EF">
        <w:rPr>
          <w:color w:val="auto"/>
          <w:lang w:val="en-GB"/>
        </w:rPr>
        <w:t xml:space="preserve">This potential for a work of art to resonate with the person requires a capacity for reflection or empathy on the part of the viewer.  </w:t>
      </w:r>
      <w:r w:rsidRPr="007A77EF">
        <w:rPr>
          <w:color w:val="auto"/>
          <w:lang w:val="en-GB"/>
        </w:rPr>
        <w:t>T</w:t>
      </w:r>
      <w:r w:rsidR="00CB2B4E" w:rsidRPr="007A77EF">
        <w:rPr>
          <w:color w:val="auto"/>
          <w:lang w:val="en-GB"/>
        </w:rPr>
        <w:t xml:space="preserve">he ability to understand </w:t>
      </w:r>
      <w:r w:rsidR="00302562" w:rsidRPr="007A77EF">
        <w:rPr>
          <w:color w:val="auto"/>
          <w:lang w:val="en-GB"/>
        </w:rPr>
        <w:t>those</w:t>
      </w:r>
      <w:r w:rsidR="00CB2B4E" w:rsidRPr="007A77EF">
        <w:rPr>
          <w:color w:val="auto"/>
          <w:lang w:val="en-GB"/>
        </w:rPr>
        <w:t xml:space="preserve"> internal psychological states </w:t>
      </w:r>
      <w:r w:rsidR="00302562" w:rsidRPr="007A77EF">
        <w:rPr>
          <w:color w:val="auto"/>
          <w:lang w:val="en-GB"/>
        </w:rPr>
        <w:t xml:space="preserve">that motivate the behaviour of others </w:t>
      </w:r>
      <w:r w:rsidRPr="007A77EF">
        <w:rPr>
          <w:color w:val="auto"/>
          <w:lang w:val="en-GB"/>
        </w:rPr>
        <w:t xml:space="preserve">is </w:t>
      </w:r>
      <w:r w:rsidR="00302562" w:rsidRPr="007A77EF">
        <w:rPr>
          <w:color w:val="auto"/>
          <w:lang w:val="en-GB"/>
        </w:rPr>
        <w:t xml:space="preserve">encapsulated </w:t>
      </w:r>
      <w:r w:rsidR="00A80920" w:rsidRPr="007A77EF">
        <w:rPr>
          <w:color w:val="auto"/>
          <w:lang w:val="en-GB"/>
        </w:rPr>
        <w:t>by</w:t>
      </w:r>
      <w:r w:rsidRPr="007A77EF">
        <w:rPr>
          <w:color w:val="auto"/>
          <w:lang w:val="en-GB"/>
        </w:rPr>
        <w:t xml:space="preserve"> </w:t>
      </w:r>
      <w:r w:rsidR="00A80920" w:rsidRPr="007A77EF">
        <w:rPr>
          <w:color w:val="auto"/>
          <w:lang w:val="en-GB"/>
        </w:rPr>
        <w:t xml:space="preserve">the </w:t>
      </w:r>
      <w:r w:rsidRPr="007A77EF">
        <w:rPr>
          <w:color w:val="auto"/>
          <w:lang w:val="en-GB"/>
        </w:rPr>
        <w:t xml:space="preserve">Theory of Mind (ToM) </w:t>
      </w:r>
      <w:r w:rsidR="00A80920" w:rsidRPr="007A77EF">
        <w:rPr>
          <w:color w:val="auto"/>
          <w:lang w:val="en-GB"/>
        </w:rPr>
        <w:t xml:space="preserve"> perspective</w:t>
      </w:r>
      <w:r w:rsidR="00302562" w:rsidRPr="007A77EF">
        <w:rPr>
          <w:color w:val="auto"/>
          <w:lang w:val="en-GB"/>
        </w:rPr>
        <w:t xml:space="preserve"> </w:t>
      </w:r>
      <w:r w:rsidRPr="007A77EF">
        <w:rPr>
          <w:color w:val="auto"/>
          <w:lang w:val="en-GB"/>
        </w:rPr>
        <w:t>wh</w:t>
      </w:r>
      <w:r w:rsidR="00A80920" w:rsidRPr="007A77EF">
        <w:rPr>
          <w:color w:val="auto"/>
          <w:lang w:val="en-GB"/>
        </w:rPr>
        <w:t>erein empathy and perspective-switching</w:t>
      </w:r>
      <w:r w:rsidR="00CB2B4E" w:rsidRPr="007A77EF">
        <w:rPr>
          <w:color w:val="auto"/>
          <w:lang w:val="en-GB"/>
        </w:rPr>
        <w:t xml:space="preserve"> is</w:t>
      </w:r>
      <w:r w:rsidR="00A80920" w:rsidRPr="007A77EF">
        <w:rPr>
          <w:color w:val="auto"/>
          <w:lang w:val="en-GB"/>
        </w:rPr>
        <w:t xml:space="preserve"> fundamental</w:t>
      </w:r>
      <w:r w:rsidR="00CB2B4E" w:rsidRPr="007A77EF">
        <w:rPr>
          <w:color w:val="auto"/>
          <w:lang w:val="en-GB"/>
        </w:rPr>
        <w:t xml:space="preserve"> to one</w:t>
      </w:r>
      <w:r w:rsidR="00CB2B4E" w:rsidRPr="007A77EF">
        <w:rPr>
          <w:rFonts w:hAnsi="Times New Roman"/>
          <w:color w:val="auto"/>
          <w:lang w:val="en-GB"/>
        </w:rPr>
        <w:t>’</w:t>
      </w:r>
      <w:r w:rsidR="00CB2B4E" w:rsidRPr="007A77EF">
        <w:rPr>
          <w:color w:val="auto"/>
          <w:lang w:val="en-GB"/>
        </w:rPr>
        <w:t>s ability to navigate the social world</w:t>
      </w:r>
      <w:r w:rsidR="00314059" w:rsidRPr="007A77EF">
        <w:rPr>
          <w:color w:val="auto"/>
          <w:lang w:val="en-GB"/>
        </w:rPr>
        <w:t xml:space="preserve"> </w:t>
      </w:r>
      <w:r w:rsidR="00314059" w:rsidRPr="007A77EF">
        <w:rPr>
          <w:color w:val="auto"/>
        </w:rPr>
        <w:fldChar w:fldCharType="begin" w:fldLock="1"/>
      </w:r>
      <w:r w:rsidR="000C06E2" w:rsidRPr="007A77EF">
        <w:rPr>
          <w:color w:val="auto"/>
          <w:lang w:val="en-GB"/>
        </w:rPr>
        <w:instrText>ADDIN CSL_CITATION { "citationItems" : [ { "id" : "ITEM-1", "itemData" : { "author" : [ { "dropping-particle" : "", "family" : "Blakemore", "given" : "S J", "non-dropping-particle" : "", "parse-names" : false, "suffix" : "" }, { "dropping-particle" : "", "family" : "Decety", "given" : "J", "non-dropping-particle" : "", "parse-names" : false, "suffix" : "" } ], "container-title" : "Nature Reviews Neuroscience", "id" : "ITEM-1", "issued" : { "date-parts" : [ [ "2001" ] ] }, "page" : "561 - 567", "title" : "From the perception of action to the understanding of intention", "type" : "article-journal", "volume" : "2" }, "uris" : [ "http://www.mendeley.com/documents/?uuid=515951db-2b43-4797-a21b-3f9c5f4c7f1c" ] }, { "id" : "ITEM-2", "itemData" : { "author" : [ { "dropping-particle" : "", "family" : "Carruthers", "given" : "P", "non-dropping-particle" : "", "parse-names" : false, "suffix" : "" }, { "dropping-particle" : "", "family" : "Smith", "given" : "P K", "non-dropping-particle" : "", "parse-names" : false, "suffix" : "" } ], "id" : "ITEM-2", "issued" : { "date-parts" : [ [ "1996" ] ] }, "publisher" : "Cambridge University Press", "publisher-place" : "Cambridge", "title" : "Theories of theories of mind", "type" : "book" }, "uris" : [ "http://www.mendeley.com/documents/?uuid=ac5941e9-81d7-44d9-a105-c04383ea3627" ] }, { "id" : "ITEM-3", "itemData" : { "DOI" : "10.1016/j.dcn.2014.01.002", "ISSN" : "1878-9307", "PMID" : "24552989", "abstract" : "Theory of mind (ToM) is a core topic in both social neuroscience and developmental psychology, yet theory and data from each field have only minimally constrained thinking in the other. The two fields might be fruitfully integrated, however, if social neuroscientists sought evidence directly relevant to current accounts of ToM development: modularity, simulation, executive, and theory theory accounts. Here we extend the distinct predictions made by each theory to the neural level, describe neuroimaging evidence that in principle would be relevant to testing each account, and discuss such evidence where it exists. We propose that it would be mutually beneficial for both fields if ToM neuroimaging studies focused more on integrating developmental accounts of ToM acquisition with neuroimaging approaches, and suggest ways this might be achieved.", "author" : [ { "dropping-particle" : "V", "family" : "Mahy", "given" : "Caitlin E", "non-dropping-particle" : "", "parse-names" : false, "suffix" : "" }, { "dropping-particle" : "", "family" : "Moses", "given" : "Louis J", "non-dropping-particle" : "", "parse-names" : false, "suffix" : "" }, { "dropping-particle" : "", "family" : "Pfeifer", "given" : "Jennifer H", "non-dropping-particle" : "", "parse-names" : false, "suffix" : "" } ], "container-title" : "Developmental cognitive neuroscience", "id" : "ITEM-3", "issued" : { "date-parts" : [ [ "2014", "1", "25" ] ] }, "page" : "68-81", "publisher" : "Elsevier Ltd", "title" : "How and where: Theory-of-mind in the brain.", "type" : "article-journal", "volume" : "9C" }, "uris" : [ "http://www.mendeley.com/documents/?uuid=97b4659c-19b4-4236-9bd8-0948bbd79899" ] }, { "id" : "ITEM-4", "itemData" : { "DOI" : "10.1162/jocn_a_00281", "ISSN" : "1530-8898", "PMID" : "22905821", "abstract" : "Human cognition is increasingly characterized as an emergent property of interactions among distributed, functionally specialized brain networks. We recently demonstrated that the antagonistic \"default\" and \"dorsal attention\" networks--subserving internally and externally directed cognition, respectively--are modulated by a third \"frontoparietal control\" network that flexibly couples with either network depending on task domain. However, little is known about the intrinsic functional architecture underlying this relationship. We used graph theory to analyze network properties of intrinsic functional connectivity within and between these three large-scale networks. Task-based activation from three independent studies were used to identify reliable brain regions (\"nodes\") of each network. We then examined pairwise connections (\"edges\") between nodes, as defined by resting-state functional connectivity MRI. Importantly, we used a novel bootstrap resampling procedure to determine the reliability of graph edges. Furthermore, we examined both full and partial correlations. As predicted, there was a higher degree of integration within each network than between networks. Critically, whereas the default and dorsal attention networks shared little positive connectivity with one another, the frontoparietal control network showed a high degree of between-network interconnectivity with each of these networks. Furthermore, we identified nodes within the frontoparietal control network of three different types--default-aligned, dorsal attention-aligned, and dual-aligned--that we propose play dissociable roles in mediating internetwork communication. The results provide evidence consistent with the idea that the frontoparietal control network plays a pivotal gate-keeping role in goal-directed cognition, mediating the dynamic balance between default and dorsal attention networks.", "author" : [ { "dropping-particle" : "", "family" : "Spreng", "given" : "R Nathan", "non-dropping-particle" : "", "parse-names" : false, "suffix" : "" }, { "dropping-particle" : "", "family" : "Sepulcre", "given" : "Jorge", "non-dropping-particle" : "", "parse-names" : false, "suffix" : "" }, { "dropping-particle" : "", "family" : "Turner", "given" : "Gary R", "non-dropping-particle" : "", "parse-names" : false, "suffix" : "" }, { "dropping-particle" : "", "family" : "Stevens", "given" : "W Dale", "non-dropping-particle" : "", "parse-names" : false, "suffix" : "" }, { "dropping-particle" : "", "family" : "Schacter", "given" : "Daniel L", "non-dropping-particle" : "", "parse-names" : false, "suffix" : "" } ], "container-title" : "Journal of cognitive neuroscience", "id" : "ITEM-4", "issue" : "1", "issued" : { "date-parts" : [ [ "2013", "1" ] ] }, "page" : "74-86", "title" : "Intrinsic architecture underlying the relations among the default, dorsal attention, and frontoparietal control networks of the human brain.", "type" : "article-journal", "volume" : "25" }, "uris" : [ "http://www.mendeley.com/documents/?uuid=aedb42f9-df71-48af-acac-0763409b5c1a" ] } ], "mendeley" : { "formattedCitation" : "(Blakemore &amp; Decety, 2001; Carruthers &amp; Smith, 1996; Mahy, Moses, &amp; Pfeifer, 2014; Spreng, Sepulcre, Turner, Stevens, &amp; Schacter, 2013)", "plainTextFormattedCitation" : "(Blakemore &amp; Decety, 2001; Carruthers &amp; Smith, 1996; Mahy, Moses, &amp; Pfeifer, 2014; Spreng, Sepulcre, Turner, Stevens, &amp; Schacter, 2013)", "previouslyFormattedCitation" : "(Blakemore &amp; Decety, 2001; Carruthers &amp; Smith, 1996; Mahy, Moses, &amp; Pfeifer, 2014; Spreng, Sepulcre, Turner, Stevens, &amp; Schacter, 2013)" }, "properties" : { "noteIndex" : 0 }, "schema" : "https://github.com/citation-style-language/schema/raw/master/csl-citation.json" }</w:instrText>
      </w:r>
      <w:r w:rsidR="00314059" w:rsidRPr="007A77EF">
        <w:rPr>
          <w:color w:val="auto"/>
        </w:rPr>
        <w:fldChar w:fldCharType="separate"/>
      </w:r>
      <w:r w:rsidR="00314059" w:rsidRPr="007A77EF">
        <w:rPr>
          <w:noProof/>
          <w:color w:val="auto"/>
          <w:lang w:val="en-GB"/>
        </w:rPr>
        <w:t>(Blakemore &amp; Decety, 2001; Carruthers &amp; Smith, 1996; Mahy, Moses, &amp; Pfeifer, 2014; Spreng, Sepulcre, Turner, Stevens, &amp; Schacter, 2013)</w:t>
      </w:r>
      <w:r w:rsidR="00314059" w:rsidRPr="007A77EF">
        <w:rPr>
          <w:color w:val="auto"/>
        </w:rPr>
        <w:fldChar w:fldCharType="end"/>
      </w:r>
      <w:r w:rsidR="00CB2B4E" w:rsidRPr="007A77EF">
        <w:rPr>
          <w:color w:val="auto"/>
          <w:lang w:val="en-GB"/>
        </w:rPr>
        <w:t xml:space="preserve">. </w:t>
      </w:r>
      <w:r w:rsidR="00A80920" w:rsidRPr="007A77EF">
        <w:rPr>
          <w:color w:val="auto"/>
          <w:lang w:val="en-GB"/>
        </w:rPr>
        <w:t>One</w:t>
      </w:r>
      <w:r w:rsidR="00CB2B4E" w:rsidRPr="007A77EF">
        <w:rPr>
          <w:color w:val="auto"/>
          <w:lang w:val="en-GB"/>
        </w:rPr>
        <w:t xml:space="preserve"> cornerstone of ToM is an assumption that the thoughts and feelings of others are estimated via an act of </w:t>
      </w:r>
      <w:r w:rsidR="00A80920" w:rsidRPr="007A77EF">
        <w:rPr>
          <w:iCs/>
          <w:color w:val="auto"/>
          <w:lang w:val="en-GB"/>
        </w:rPr>
        <w:t>second-order processing designed to</w:t>
      </w:r>
      <w:r w:rsidR="00CB2B4E" w:rsidRPr="007A77EF">
        <w:rPr>
          <w:color w:val="auto"/>
          <w:lang w:val="en-GB"/>
        </w:rPr>
        <w:t xml:space="preserve"> simulate the experience of another (i.e. putting oneself into another person</w:t>
      </w:r>
      <w:r w:rsidR="00CB2B4E" w:rsidRPr="007A77EF">
        <w:rPr>
          <w:rFonts w:hAnsi="Times New Roman"/>
          <w:color w:val="auto"/>
          <w:lang w:val="en-GB"/>
        </w:rPr>
        <w:t>’</w:t>
      </w:r>
      <w:r w:rsidR="00CB2B4E" w:rsidRPr="007A77EF">
        <w:rPr>
          <w:color w:val="auto"/>
          <w:lang w:val="en-GB"/>
        </w:rPr>
        <w:t>s shoes)</w:t>
      </w:r>
      <w:r w:rsidR="00314059" w:rsidRPr="007A77EF">
        <w:rPr>
          <w:color w:val="auto"/>
          <w:lang w:val="en-GB"/>
        </w:rPr>
        <w:t xml:space="preserve"> </w:t>
      </w:r>
      <w:r w:rsidR="00314059" w:rsidRPr="007A77EF">
        <w:rPr>
          <w:color w:val="auto"/>
        </w:rPr>
        <w:fldChar w:fldCharType="begin" w:fldLock="1"/>
      </w:r>
      <w:r w:rsidR="000C06E2" w:rsidRPr="007A77EF">
        <w:rPr>
          <w:color w:val="auto"/>
          <w:lang w:val="en-GB"/>
        </w:rPr>
        <w:instrText>ADDIN CSL_CITATION { "citationItems" : [ { "id" : "ITEM-1", "itemData" : { "DOI" : "10.1523/JNEUROSCI.2180-10.2010", "ISSN" : "1529-2401", "PMID" : "20943931", "abstract" : "Kinship, friendship alliances, and perceptions of others' beliefs guide social interactions and are central to cohesive group behavior. Under certain conditions, brain systems that involve regions along the frontal midline increase activity when inferences are drawn about others who share a similar view to one's own (similarity). A prominent hypothesis is that these regions contribute to social cognition by simulating the other person's perspective based on one's own experience. An alternative is that certain regions process the social relevance of the person (closeness) to oneself and contribute to the assessment akin to signals that govern behavioral approach responses. These alternatives were explored across four functional magnetic resonance imaging experiments (n = 98). Experiment 1 localized the target midline regions in the rostral anterior cingulate cortex and anterior medial prefrontal cortex by having participants make personal judgments. The two dimensions (similarity, closeness) were crossed in experiment 2 using actual friends of the participant and unknown others. Making judgments about oneself and friends resulted in increased midline response relative to unknown others regardless of whether the friends shared similar views as the participant. Experiment 3 revealed that similarity was not a factor even when close others were not included. Experiment 4 directly contrasted two extremes: participants made inferences about similar, unknown others and dissimilar friends. Judgments about the close others again increased blood oxygenation level-dependent response along the frontal midline. These results encourage further exploration of the idea that frontal systems linked with limbic circuits facilitate assessment of the relevance or personal significance in social contexts.", "author" : [ { "dropping-particle" : "", "family" : "Krienen", "given" : "Fenna M", "non-dropping-particle" : "", "parse-names" : false, "suffix" : "" }, { "dropping-particle" : "", "family" : "Tu", "given" : "Pei-Chi", "non-dropping-particle" : "", "parse-names" : false, "suffix" : "" }, { "dropping-particle" : "", "family" : "Buckner", "given" : "Randy L", "non-dropping-particle" : "", "parse-names" : false, "suffix" : "" } ], "container-title" : "The Journal of neuroscience : the official journal of the Society for Neuroscience", "id" : "ITEM-1", "issue" : "41", "issued" : { "date-parts" : [ [ "2010", "10", "13" ] ] }, "page" : "13906-15", "title" : "Clan mentality: evidence that the medial prefrontal cortex responds to close others.", "type" : "article-journal", "volume" : "30" }, "uris" : [ "http://www.mendeley.com/documents/?uuid=fa82877c-81b6-4afb-af06-9faa13512299" ] }, { "id" : "ITEM-2", "itemData" : { "DOI" : "10.1016/j.neuroimage.2005.07.022", "ISSN" : "1053-8119", "PMID" : "16122944", "abstract" : "Theory of Mind (ToM), the ability to attribute mental states to others, and empathy, the ability to infer emotional experiences, are important processes in social cognition. Brain imaging studies in healthy subjects have described a brain system involving medial prefrontal cortex, superior temporal sulcus and temporal pole in ToM processing. Studies investigating networks associated with empathic responding also suggest involvement of temporal and frontal lobe regions. In this fMRI study, we used a cartoon task derived from Sarfati et al. (1997) [Sarfati, Y., Hardy-Bayle, M.C., Besche, C., Widlocher, D. 1997. Attribution of intentions to others in people with schizophrenia: a non-verbal exploration with comic strips. Schizophrenia Research 25, 199-209.]with both ToM and empathy stimuli in order to allow comparison of brain activations in these two processes. Results of 13 right-handed, healthy, male volunteers were included. Functional images were acquired using a 1.5 T Phillips Gyroscan. Our results confirmed that ToM and empathy stimuli are associated with overlapping but distinct neuronal networks. Common areas of activation included the medial prefrontal cortex, temporoparietal junction and temporal poles. Compared to the empathy condition, ToM stimuli revealed increased activations in lateral orbitofrontal cortex, middle frontal gyrus, cuneus and superior temporal gyrus. Empathy, on the other hand, was associated with enhanced activations of paracingulate, anterior and posterior cingulate and amygdala. We therefore suggest that ToM and empathy both rely on networks associated with making inferences about mental states of others. However, empathic responding requires the additional recruitment of networks involved in emotional processing. These results have implications for our understanding of disorders characterized by impairments of social cognition, such as autism and psychopathy.", "author" : [ { "dropping-particle" : "", "family" : "V\u00f6llm", "given" : "Birgit A", "non-dropping-particle" : "", "parse-names" : false, "suffix" : "" }, { "dropping-particle" : "", "family" : "Taylor", "given" : "Alexander N W", "non-dropping-particle" : "", "parse-names" : false, "suffix" : "" }, { "dropping-particle" : "", "family" : "Richardson", "given" : "Paul", "non-dropping-particle" : "", "parse-names" : false, "suffix" : "" }, { "dropping-particle" : "", "family" : "Corcoran", "given" : "Rhiannon", "non-dropping-particle" : "", "parse-names" : false, "suffix" : "" }, { "dropping-particle" : "", "family" : "Stirling", "given" : "John", "non-dropping-particle" : "", "parse-names" : false, "suffix" : "" }, { "dropping-particle" : "", "family" : "McKie", "given" : "Shane", "non-dropping-particle" : "", "parse-names" : false, "suffix" : "" }, { "dropping-particle" : "", "family" : "Deakin", "given" : "John F W", "non-dropping-particle" : "", "parse-names" : false, "suffix" : "" }, { "dropping-particle" : "", "family" : "Elliott", "given" : "Rebecca", "non-dropping-particle" : "", "parse-names" : false, "suffix" : "" } ], "container-title" : "NeuroImage", "id" : "ITEM-2", "issue" : "1", "issued" : { "date-parts" : [ [ "2006", "1", "1" ] ] }, "page" : "90-8", "title" : "Neuronal correlates of theory of mind and empathy: a functional magnetic resonance imaging study in a nonverbal task.", "type" : "article-journal", "volume" : "29" }, "uris" : [ "http://www.mendeley.com/documents/?uuid=aa27739e-3030-4843-8d94-2a2000dc5244" ] } ], "mendeley" : { "formattedCitation" : "(Krienen, Tu, &amp; Buckner, 2010; V\u00f6llm et al., 2006)", "plainTextFormattedCitation" : "(Krienen, Tu, &amp; Buckner, 2010; V\u00f6llm et al., 2006)", "previouslyFormattedCitation" : "(Krienen, Tu, &amp; Buckner, 2010; V\u00f6llm et al., 2006)" }, "properties" : { "noteIndex" : 0 }, "schema" : "https://github.com/citation-style-language/schema/raw/master/csl-citation.json" }</w:instrText>
      </w:r>
      <w:r w:rsidR="00314059" w:rsidRPr="007A77EF">
        <w:rPr>
          <w:color w:val="auto"/>
        </w:rPr>
        <w:fldChar w:fldCharType="separate"/>
      </w:r>
      <w:r w:rsidR="00B57899" w:rsidRPr="007A77EF">
        <w:rPr>
          <w:noProof/>
          <w:color w:val="auto"/>
          <w:lang w:val="en-GB"/>
        </w:rPr>
        <w:t>(Krienen, Tu, &amp; Buckner, 2010; V</w:t>
      </w:r>
      <w:r w:rsidR="00B57899" w:rsidRPr="007A77EF">
        <w:rPr>
          <w:noProof/>
          <w:color w:val="auto"/>
          <w:lang w:val="en-GB"/>
        </w:rPr>
        <w:t>ö</w:t>
      </w:r>
      <w:r w:rsidR="00B57899" w:rsidRPr="007A77EF">
        <w:rPr>
          <w:noProof/>
          <w:color w:val="auto"/>
          <w:lang w:val="en-GB"/>
        </w:rPr>
        <w:t>llm et al., 2006)</w:t>
      </w:r>
      <w:r w:rsidR="00314059" w:rsidRPr="007A77EF">
        <w:rPr>
          <w:color w:val="auto"/>
        </w:rPr>
        <w:fldChar w:fldCharType="end"/>
      </w:r>
      <w:r w:rsidR="00CB2B4E" w:rsidRPr="007A77EF">
        <w:rPr>
          <w:color w:val="auto"/>
          <w:lang w:val="en-GB"/>
        </w:rPr>
        <w:t xml:space="preserve">. In this instance, the perception of </w:t>
      </w:r>
      <w:r w:rsidR="00CB2B4E" w:rsidRPr="007A77EF">
        <w:rPr>
          <w:iCs/>
          <w:color w:val="auto"/>
          <w:lang w:val="en-GB"/>
        </w:rPr>
        <w:t>self</w:t>
      </w:r>
      <w:r w:rsidR="00CB2B4E" w:rsidRPr="007A77EF">
        <w:rPr>
          <w:color w:val="auto"/>
          <w:lang w:val="en-GB"/>
        </w:rPr>
        <w:t xml:space="preserve"> is utilised in order to project a series of </w:t>
      </w:r>
      <w:r w:rsidR="00302562" w:rsidRPr="007A77EF">
        <w:rPr>
          <w:color w:val="auto"/>
          <w:lang w:val="en-GB"/>
        </w:rPr>
        <w:t xml:space="preserve">cognitive and emotional </w:t>
      </w:r>
      <w:r w:rsidR="00CB2B4E" w:rsidRPr="007A77EF">
        <w:rPr>
          <w:color w:val="auto"/>
          <w:lang w:val="en-GB"/>
        </w:rPr>
        <w:t xml:space="preserve">outcomes onto others. </w:t>
      </w:r>
    </w:p>
    <w:p w14:paraId="58748069" w14:textId="77777777" w:rsidR="000561A2" w:rsidRPr="007A77EF" w:rsidRDefault="00CB2B4E" w:rsidP="00484388">
      <w:pPr>
        <w:pStyle w:val="BodyA"/>
        <w:spacing w:line="480" w:lineRule="auto"/>
        <w:ind w:firstLine="720"/>
        <w:rPr>
          <w:color w:val="auto"/>
          <w:lang w:val="en-GB"/>
        </w:rPr>
      </w:pPr>
      <w:r w:rsidRPr="007A77EF">
        <w:rPr>
          <w:color w:val="auto"/>
          <w:lang w:val="en-GB"/>
        </w:rPr>
        <w:t>Two neural systems have been implicated in ToM (see</w:t>
      </w:r>
      <w:r w:rsidR="00314059" w:rsidRPr="007A77EF">
        <w:rPr>
          <w:color w:val="auto"/>
          <w:lang w:val="en-GB"/>
        </w:rPr>
        <w:t xml:space="preserve"> </w:t>
      </w:r>
      <w:r w:rsidR="00314059" w:rsidRPr="007A77EF">
        <w:rPr>
          <w:color w:val="auto"/>
        </w:rPr>
        <w:fldChar w:fldCharType="begin" w:fldLock="1"/>
      </w:r>
      <w:r w:rsidR="000C06E2" w:rsidRPr="007A77EF">
        <w:rPr>
          <w:color w:val="auto"/>
          <w:lang w:val="en-GB"/>
        </w:rPr>
        <w:instrText>ADDIN CSL_CITATION { "citationItems" : [ { "id" : "ITEM-1", "itemData" : { "DOI" : "10.1016/j.dcn.2014.01.002", "ISSN" : "1878-9307", "PMID" : "24552989", "abstract" : "Theory of mind (ToM) is a core topic in both social neuroscience and developmental psychology, yet theory and data from each field have only minimally constrained thinking in the other. The two fields might be fruitfully integrated, however, if social neuroscientists sought evidence directly relevant to current accounts of ToM development: modularity, simulation, executive, and theory theory accounts. Here we extend the distinct predictions made by each theory to the neural level, describe neuroimaging evidence that in principle would be relevant to testing each account, and discuss such evidence where it exists. We propose that it would be mutually beneficial for both fields if ToM neuroimaging studies focused more on integrating developmental accounts of ToM acquisition with neuroimaging approaches, and suggest ways this might be achieved.", "author" : [ { "dropping-particle" : "V", "family" : "Mahy", "given" : "Caitlin E", "non-dropping-particle" : "", "parse-names" : false, "suffix" : "" }, { "dropping-particle" : "", "family" : "Moses", "given" : "Louis J", "non-dropping-particle" : "", "parse-names" : false, "suffix" : "" }, { "dropping-particle" : "", "family" : "Pfeifer", "given" : "Jennifer H", "non-dropping-particle" : "", "parse-names" : false, "suffix" : "" } ], "container-title" : "Developmental cognitive neuroscience", "id" : "ITEM-1", "issued" : { "date-parts" : [ [ "2014", "1", "25" ] ] }, "page" : "68-81", "publisher" : "Elsevier Ltd", "title" : "How and where: Theory-of-mind in the brain.", "type" : "article-journal", "volume" : "9C" }, "uris" : [ "http://www.mendeley.com/documents/?uuid=97b4659c-19b4-4236-9bd8-0948bbd79899" ] } ], "mendeley" : { "formattedCitation" : "(Mahy et al., 2014)", "manualFormatting" : "Mahy et al., 2014", "plainTextFormattedCitation" : "(Mahy et al., 2014)", "previouslyFormattedCitation" : "(Mahy et al., 2014)" }, "properties" : { "noteIndex" : 0 }, "schema" : "https://github.com/citation-style-language/schema/raw/master/csl-citation.json" }</w:instrText>
      </w:r>
      <w:r w:rsidR="00314059" w:rsidRPr="007A77EF">
        <w:rPr>
          <w:color w:val="auto"/>
        </w:rPr>
        <w:fldChar w:fldCharType="separate"/>
      </w:r>
      <w:r w:rsidR="00314059" w:rsidRPr="007A77EF">
        <w:rPr>
          <w:noProof/>
          <w:color w:val="auto"/>
          <w:lang w:val="en-GB"/>
        </w:rPr>
        <w:t>Mahy et al., 2014</w:t>
      </w:r>
      <w:r w:rsidR="00314059" w:rsidRPr="007A77EF">
        <w:rPr>
          <w:color w:val="auto"/>
        </w:rPr>
        <w:fldChar w:fldCharType="end"/>
      </w:r>
      <w:r w:rsidRPr="007A77EF">
        <w:rPr>
          <w:color w:val="auto"/>
          <w:lang w:val="en-GB"/>
        </w:rPr>
        <w:t xml:space="preserve"> for a review). The first </w:t>
      </w:r>
      <w:r w:rsidR="009D67B9" w:rsidRPr="007A77EF">
        <w:rPr>
          <w:color w:val="auto"/>
          <w:lang w:val="en-GB"/>
        </w:rPr>
        <w:t>is the Default Mode Network (DMN)</w:t>
      </w:r>
      <w:r w:rsidR="00945D18" w:rsidRPr="007A77EF">
        <w:rPr>
          <w:color w:val="auto"/>
          <w:lang w:val="en-GB"/>
        </w:rPr>
        <w:t xml:space="preserve"> which</w:t>
      </w:r>
      <w:r w:rsidR="00484388" w:rsidRPr="007A77EF">
        <w:rPr>
          <w:color w:val="auto"/>
          <w:lang w:val="en-GB"/>
        </w:rPr>
        <w:t xml:space="preserve"> </w:t>
      </w:r>
      <w:r w:rsidR="00D25DAB" w:rsidRPr="007A77EF">
        <w:rPr>
          <w:color w:val="auto"/>
          <w:lang w:val="en-GB"/>
        </w:rPr>
        <w:t>i</w:t>
      </w:r>
      <w:r w:rsidR="00946AFC" w:rsidRPr="007A77EF">
        <w:rPr>
          <w:color w:val="auto"/>
          <w:lang w:val="en-GB"/>
        </w:rPr>
        <w:t xml:space="preserve">ncludes </w:t>
      </w:r>
      <w:r w:rsidR="00945D18" w:rsidRPr="007A77EF">
        <w:rPr>
          <w:color w:val="auto"/>
          <w:lang w:val="en-GB"/>
        </w:rPr>
        <w:t>medial BA8/9, dorsal BA32/24, the temporoparietal junction</w:t>
      </w:r>
      <w:r w:rsidR="0000451A" w:rsidRPr="007A77EF">
        <w:rPr>
          <w:color w:val="auto"/>
          <w:lang w:val="en-GB"/>
        </w:rPr>
        <w:t>, the lateral temporal cortex</w:t>
      </w:r>
      <w:r w:rsidR="00946AFC" w:rsidRPr="007A77EF">
        <w:rPr>
          <w:color w:val="auto"/>
          <w:lang w:val="en-GB"/>
        </w:rPr>
        <w:t>,</w:t>
      </w:r>
      <w:r w:rsidR="00945D18" w:rsidRPr="007A77EF">
        <w:rPr>
          <w:color w:val="auto"/>
          <w:lang w:val="en-GB"/>
        </w:rPr>
        <w:t xml:space="preserve"> </w:t>
      </w:r>
      <w:r w:rsidR="0000451A" w:rsidRPr="007A77EF">
        <w:rPr>
          <w:color w:val="auto"/>
          <w:lang w:val="en-GB"/>
        </w:rPr>
        <w:t>the temporal pole</w:t>
      </w:r>
      <w:r w:rsidR="00946AFC" w:rsidRPr="007A77EF">
        <w:rPr>
          <w:color w:val="auto"/>
          <w:lang w:val="en-GB"/>
        </w:rPr>
        <w:t>,</w:t>
      </w:r>
      <w:r w:rsidR="00945D18" w:rsidRPr="007A77EF">
        <w:rPr>
          <w:color w:val="auto"/>
          <w:lang w:val="en-GB"/>
        </w:rPr>
        <w:t xml:space="preserve"> BA11</w:t>
      </w:r>
      <w:r w:rsidR="00484388" w:rsidRPr="007A77EF">
        <w:rPr>
          <w:color w:val="auto"/>
          <w:lang w:val="en-GB"/>
        </w:rPr>
        <w:t>,</w:t>
      </w:r>
      <w:r w:rsidR="00945D18" w:rsidRPr="007A77EF">
        <w:rPr>
          <w:color w:val="auto"/>
          <w:lang w:val="en-GB"/>
        </w:rPr>
        <w:t xml:space="preserve"> ventral BA32/24, the posterior inferior parietal lobule, the retrosplenial cortex, the parahippocampal cortex and the hipp</w:t>
      </w:r>
      <w:r w:rsidR="00D25DAB" w:rsidRPr="007A77EF">
        <w:rPr>
          <w:color w:val="auto"/>
          <w:lang w:val="en-GB"/>
        </w:rPr>
        <w:t>ocampal formation</w:t>
      </w:r>
      <w:r w:rsidR="00946AFC" w:rsidRPr="007A77EF">
        <w:rPr>
          <w:color w:val="auto"/>
          <w:lang w:val="en-GB"/>
        </w:rPr>
        <w:t xml:space="preserve"> as well as </w:t>
      </w:r>
      <w:r w:rsidR="00945D18" w:rsidRPr="007A77EF">
        <w:rPr>
          <w:color w:val="auto"/>
          <w:lang w:val="en-GB"/>
        </w:rPr>
        <w:t xml:space="preserve">the posterior cingulate cortex and </w:t>
      </w:r>
      <w:r w:rsidR="0000451A" w:rsidRPr="007A77EF">
        <w:rPr>
          <w:color w:val="auto"/>
          <w:lang w:val="en-GB"/>
        </w:rPr>
        <w:t>the</w:t>
      </w:r>
      <w:r w:rsidR="00945D18" w:rsidRPr="007A77EF">
        <w:rPr>
          <w:color w:val="auto"/>
          <w:lang w:val="en-GB"/>
        </w:rPr>
        <w:t xml:space="preserve"> </w:t>
      </w:r>
      <w:r w:rsidR="0000451A" w:rsidRPr="007A77EF">
        <w:rPr>
          <w:color w:val="auto"/>
          <w:lang w:val="en-GB"/>
        </w:rPr>
        <w:t>rPFC (</w:t>
      </w:r>
      <w:r w:rsidR="00945D18" w:rsidRPr="007A77EF">
        <w:rPr>
          <w:color w:val="auto"/>
          <w:lang w:val="en-GB"/>
        </w:rPr>
        <w:t>BA10</w:t>
      </w:r>
      <w:r w:rsidR="0000451A" w:rsidRPr="007A77EF">
        <w:rPr>
          <w:color w:val="auto"/>
          <w:lang w:val="en-GB"/>
        </w:rPr>
        <w:t>)</w:t>
      </w:r>
      <w:r w:rsidR="009D67B9" w:rsidRPr="007A77EF">
        <w:rPr>
          <w:color w:val="auto"/>
          <w:lang w:val="en-GB"/>
        </w:rPr>
        <w:t xml:space="preserve">. The DMN is traditionally associated with unstructured thought during rest phases </w:t>
      </w:r>
      <w:r w:rsidR="009D67B9" w:rsidRPr="007A77EF">
        <w:rPr>
          <w:color w:val="auto"/>
        </w:rPr>
        <w:fldChar w:fldCharType="begin" w:fldLock="1"/>
      </w:r>
      <w:r w:rsidR="000C06E2" w:rsidRPr="007A77EF">
        <w:rPr>
          <w:color w:val="auto"/>
          <w:lang w:val="en-GB"/>
        </w:rPr>
        <w:instrText>ADDIN CSL_CITATION { "citationItems" : [ { "id" : "ITEM-1", "itemData" : { "DOI" : "10.1196/annals.1440.011", "ISSN" : "0077-8923", "PMID" : "18400922", "abstract" : "Thirty years of brain imaging research has converged to define the brain's default network-a novel and only recently appreciated brain system that participates in internal modes of cognition. Here we synthesize past observations to provide strong evidence that the default network is a specific, anatomically defined brain system preferentially active when individuals are not focused on the external environment. Analysis of connectional anatomy in the monkey supports the presence of an interconnected brain system. Providing insight into function, the default network is active when individuals are engaged in internally focused tasks including autobiographical memory retrieval, envisioning the future, and conceiving the perspectives of others. Probing the functional anatomy of the network in detail reveals that it is best understood as multiple interacting subsystems. The medial temporal lobe subsystem provides information from prior experiences in the form of memories and associations that are the building blocks of mental simulation. The medial prefrontal subsystem facilitates the flexible use of this information during the construction of self-relevant mental simulations. These two subsystems converge on important nodes of integration including the posterior cingulate cortex. The implications of these functional and anatomical observations are discussed in relation to possible adaptive roles of the default network for using past experiences to plan for the future, navigate social interactions, and maximize the utility of moments when we are not otherwise engaged by the external world. We conclude by discussing the relevance of the default network for understanding mental disorders including autism, schizophrenia, and Alzheimer's disease.", "author" : [ { "dropping-particle" : "", "family" : "Buckner", "given" : "Randy L", "non-dropping-particle" : "", "parse-names" : false, "suffix" : "" }, { "dropping-particle" : "", "family" : "Andrews-Hanna", "given" : "Jessica R", "non-dropping-particle" : "", "parse-names" : false, "suffix" : "" }, { "dropping-particle" : "", "family" : "Schacter", "given" : "Daniel L", "non-dropping-particle" : "", "parse-names" : false, "suffix" : "" } ], "container-title" : "Annals of the New York Academy of Sciences", "id" : "ITEM-1", "issued" : { "date-parts" : [ [ "2008", "3" ] ] }, "page" : "1-38", "title" : "The brain's default network: anatomy, function, and relevance to disease.", "type" : "article-journal", "volume" : "1124" }, "uris" : [ "http://www.mendeley.com/documents/?uuid=5ddc13a4-0ab8-4da6-86bd-9aac2710ebd4" ] } ], "mendeley" : { "formattedCitation" : "(Buckner, Andrews-Hanna, &amp; Schacter, 2008)", "plainTextFormattedCitation" : "(Buckner, Andrews-Hanna, &amp; Schacter, 2008)", "previouslyFormattedCitation" : "(Buckner, Andrews-Hanna, &amp; Schacter, 2008)" }, "properties" : { "noteIndex" : 0 }, "schema" : "https://github.com/citation-style-language/schema/raw/master/csl-citation.json" }</w:instrText>
      </w:r>
      <w:r w:rsidR="009D67B9" w:rsidRPr="007A77EF">
        <w:rPr>
          <w:color w:val="auto"/>
        </w:rPr>
        <w:fldChar w:fldCharType="separate"/>
      </w:r>
      <w:r w:rsidR="009D67B9" w:rsidRPr="007A77EF">
        <w:rPr>
          <w:noProof/>
          <w:color w:val="auto"/>
          <w:lang w:val="en-GB"/>
        </w:rPr>
        <w:t>(Buckner, Andrews-Hanna, &amp; Schacter, 2008)</w:t>
      </w:r>
      <w:r w:rsidR="009D67B9" w:rsidRPr="007A77EF">
        <w:rPr>
          <w:color w:val="auto"/>
        </w:rPr>
        <w:fldChar w:fldCharType="end"/>
      </w:r>
      <w:r w:rsidR="009D67B9" w:rsidRPr="007A77EF">
        <w:rPr>
          <w:color w:val="auto"/>
          <w:lang w:val="en-GB"/>
        </w:rPr>
        <w:t xml:space="preserve">; however, recent work has linked DMN activity to ToM via </w:t>
      </w:r>
      <w:r w:rsidR="009D67B9" w:rsidRPr="007A77EF">
        <w:rPr>
          <w:iCs/>
          <w:color w:val="auto"/>
          <w:lang w:val="en-GB"/>
        </w:rPr>
        <w:t>self</w:t>
      </w:r>
      <w:r w:rsidR="009D67B9" w:rsidRPr="007A77EF">
        <w:rPr>
          <w:color w:val="auto"/>
          <w:lang w:val="en-GB"/>
        </w:rPr>
        <w:t xml:space="preserve">-referential information processing as well as autobiographical memory </w:t>
      </w:r>
      <w:r w:rsidR="009D67B9" w:rsidRPr="007A77EF">
        <w:rPr>
          <w:color w:val="auto"/>
        </w:rPr>
        <w:fldChar w:fldCharType="begin" w:fldLock="1"/>
      </w:r>
      <w:r w:rsidR="000C06E2" w:rsidRPr="007A77EF">
        <w:rPr>
          <w:color w:val="auto"/>
          <w:lang w:val="en-GB"/>
        </w:rPr>
        <w:instrText>ADDIN CSL_CITATION { "citationItems" : [ { "id" : "ITEM-1", "itemData" : { "DOI" : "10.1016/j.neuron.2010.02.005", "ISSN" : "1097-4199", "PMID" : "20188659", "abstract" : "One of the most consistent observations in human functional imaging is that a network of brain regions referred to as the \"default network\" increases its activity during passive states. Here we explored the anatomy and function of the default network across three studies to resolve divergent hypotheses about its contributions to spontaneous cognition and active forms of decision making. Analysis of intrinsic activity revealed the network comprises multiple, dissociated components. A midline core (posterior cingulate and anterior medial prefrontal cortex) is active when people make self-relevant, affective decisions. In contrast, a medial temporal lobe subsystem becomes engaged when decisions involve constructing a mental scene based on memory. During certain experimentally directed and spontaneous acts of future-oriented thought, these dissociated components are simultaneously engaged, presumably to facilitate construction of mental models of personally significant events.", "author" : [ { "dropping-particle" : "", "family" : "Andrews-Hanna", "given" : "Jessica R", "non-dropping-particle" : "", "parse-names" : false, "suffix" : "" }, { "dropping-particle" : "", "family" : "Reidler", "given" : "Jay S", "non-dropping-particle" : "", "parse-names" : false, "suffix" : "" }, { "dropping-particle" : "", "family" : "Sepulcre", "given" : "Jorge", "non-dropping-particle" : "", "parse-names" : false, "suffix" : "" }, { "dropping-particle" : "", "family" : "Poulin", "given" : "Renee", "non-dropping-particle" : "", "parse-names" : false, "suffix" : "" }, { "dropping-particle" : "", "family" : "Buckner", "given" : "Randy L", "non-dropping-particle" : "", "parse-names" : false, "suffix" : "" } ], "container-title" : "Neuron", "id" : "ITEM-1", "issue" : "4", "issued" : { "date-parts" : [ [ "2010", "2", "25" ] ] }, "page" : "550-62", "publisher" : "Elsevier Ltd", "title" : "Functional-anatomic fractionation of the brain's default network.", "type" : "article-journal", "volume" : "65" }, "uris" : [ "http://www.mendeley.com/documents/?uuid=98d32c61-26bf-4d9a-82ff-2f721865bc4f" ] } ], "mendeley" : { "formattedCitation" : "(Andrews-Hanna, Reidler, Sepulcre, Poulin, &amp; Buckner, 2010)", "plainTextFormattedCitation" : "(Andrews-Hanna, Reidler, Sepulcre, Poulin, &amp; Buckner, 2010)", "previouslyFormattedCitation" : "(Andrews-Hanna, Reidler, Sepulcre, Poulin, &amp; Buckner, 2010)" }, "properties" : { "noteIndex" : 0 }, "schema" : "https://github.com/citation-style-language/schema/raw/master/csl-citation.json" }</w:instrText>
      </w:r>
      <w:r w:rsidR="009D67B9" w:rsidRPr="007A77EF">
        <w:rPr>
          <w:color w:val="auto"/>
        </w:rPr>
        <w:fldChar w:fldCharType="separate"/>
      </w:r>
      <w:r w:rsidR="009D67B9" w:rsidRPr="007A77EF">
        <w:rPr>
          <w:noProof/>
          <w:color w:val="auto"/>
          <w:lang w:val="en-GB"/>
        </w:rPr>
        <w:t>(Andrews-Hanna, Reidler, Sepulcre, Poulin, &amp; Buckner, 2010)</w:t>
      </w:r>
      <w:r w:rsidR="009D67B9" w:rsidRPr="007A77EF">
        <w:rPr>
          <w:color w:val="auto"/>
        </w:rPr>
        <w:fldChar w:fldCharType="end"/>
      </w:r>
      <w:r w:rsidR="009D67B9" w:rsidRPr="007A77EF">
        <w:rPr>
          <w:color w:val="auto"/>
          <w:lang w:val="en-GB"/>
        </w:rPr>
        <w:t xml:space="preserve">. </w:t>
      </w:r>
      <w:r w:rsidR="009D67B9" w:rsidRPr="007A77EF">
        <w:rPr>
          <w:color w:val="auto"/>
        </w:rPr>
        <w:fldChar w:fldCharType="begin" w:fldLock="1"/>
      </w:r>
      <w:r w:rsidR="000C06E2" w:rsidRPr="007A77EF">
        <w:rPr>
          <w:color w:val="auto"/>
          <w:lang w:val="en-GB"/>
        </w:rPr>
        <w:instrText>ADDIN CSL_CITATION { "citationItems" : [ { "id" : "ITEM-1", "itemData" : { "DOI" : "10.1177/1073858411403316", "ISSN" : "1089-4098", "PMID" : "21677128", "abstract" : "During the many idle moments that comprise daily life, the human brain increases its activity across a set of midline and lateral cortical brain regions known as the \"default network.\" Despite the robustness with which the brain defaults to this pattern of activity, surprisingly little is known about the network's precise anatomical organization and adaptive functions. To provide insight into these questions, this article synthesizes recent literature from structural and functional imaging with a growing behavioral literature on mind wandering. Results characterize the default network as a set of interacting hubs and subsystems that play an important role in \"internal mentation\"-the introspective and adaptive mental activities in which humans spontaneously and deliberately engage in every day.", "author" : [ { "dropping-particle" : "", "family" : "Andrews-Hanna", "given" : "Jessica R", "non-dropping-particle" : "", "parse-names" : false, "suffix" : "" } ], "container-title" : "The Neuroscientist : a review journal bringing neurobiology, neurology and psychiatry", "id" : "ITEM-1", "issue" : "3", "issued" : { "date-parts" : [ [ "2012", "6" ] ] }, "page" : "251-70", "title" : "The brain's default network and its adaptive role in internal mentation.", "type" : "article-journal", "volume" : "18" }, "uris" : [ "http://www.mendeley.com/documents/?uuid=71d916bf-5205-4843-b5e3-f3e82dfb00eb" ] } ], "mendeley" : { "formattedCitation" : "(Andrews-Hanna, 2012)", "manualFormatting" : "Andrews-Hanna (2012)", "plainTextFormattedCitation" : "(Andrews-Hanna, 2012)", "previouslyFormattedCitation" : "(Andrews-Hanna, 2012)" }, "properties" : { "noteIndex" : 0 }, "schema" : "https://github.com/citation-style-language/schema/raw/master/csl-citation.json" }</w:instrText>
      </w:r>
      <w:r w:rsidR="009D67B9" w:rsidRPr="007A77EF">
        <w:rPr>
          <w:color w:val="auto"/>
        </w:rPr>
        <w:fldChar w:fldCharType="separate"/>
      </w:r>
      <w:r w:rsidR="009D67B9" w:rsidRPr="007A77EF">
        <w:rPr>
          <w:noProof/>
          <w:color w:val="auto"/>
          <w:lang w:val="en-GB"/>
        </w:rPr>
        <w:t>Andrews-Hanna (2012)</w:t>
      </w:r>
      <w:r w:rsidR="009D67B9" w:rsidRPr="007A77EF">
        <w:rPr>
          <w:color w:val="auto"/>
        </w:rPr>
        <w:fldChar w:fldCharType="end"/>
      </w:r>
      <w:r w:rsidR="009D67B9" w:rsidRPr="007A77EF">
        <w:rPr>
          <w:color w:val="auto"/>
          <w:lang w:val="en-GB"/>
        </w:rPr>
        <w:t xml:space="preserve"> argued that the medial rPFC represents a </w:t>
      </w:r>
      <w:r w:rsidR="009D67B9" w:rsidRPr="007A77EF">
        <w:rPr>
          <w:rFonts w:hAnsi="Times New Roman"/>
          <w:color w:val="auto"/>
          <w:lang w:val="en-GB"/>
        </w:rPr>
        <w:t>‘</w:t>
      </w:r>
      <w:r w:rsidR="009D67B9" w:rsidRPr="007A77EF">
        <w:rPr>
          <w:color w:val="auto"/>
          <w:lang w:val="en-GB"/>
        </w:rPr>
        <w:t>hub</w:t>
      </w:r>
      <w:r w:rsidR="009D67B9" w:rsidRPr="007A77EF">
        <w:rPr>
          <w:rFonts w:hAnsi="Times New Roman"/>
          <w:color w:val="auto"/>
          <w:lang w:val="en-GB"/>
        </w:rPr>
        <w:t xml:space="preserve">’ </w:t>
      </w:r>
      <w:r w:rsidR="009D67B9" w:rsidRPr="007A77EF">
        <w:rPr>
          <w:color w:val="auto"/>
          <w:lang w:val="en-GB"/>
        </w:rPr>
        <w:t xml:space="preserve">of interaction for processes related to </w:t>
      </w:r>
      <w:r w:rsidR="009D67B9" w:rsidRPr="007A77EF">
        <w:rPr>
          <w:iCs/>
          <w:color w:val="auto"/>
          <w:lang w:val="en-GB"/>
        </w:rPr>
        <w:t>self</w:t>
      </w:r>
      <w:r w:rsidR="009D67B9" w:rsidRPr="007A77EF">
        <w:rPr>
          <w:color w:val="auto"/>
          <w:lang w:val="en-GB"/>
        </w:rPr>
        <w:t xml:space="preserve">-related processing and autobiographical memory. In relation to the experience of art, </w:t>
      </w:r>
      <w:r w:rsidR="009D67B9" w:rsidRPr="007A77EF">
        <w:rPr>
          <w:color w:val="auto"/>
        </w:rPr>
        <w:fldChar w:fldCharType="begin" w:fldLock="1"/>
      </w:r>
      <w:r w:rsidR="006B5874" w:rsidRPr="007A77EF">
        <w:rPr>
          <w:color w:val="auto"/>
          <w:lang w:val="en-GB"/>
        </w:rPr>
        <w:instrText>ADDIN CSL_CITATION { "citationItems" : [ { "id" : "ITEM-1", "itemData" : { "DOI" : "10.3389/fnins.2013.00258", "ISSN" : "1662-4548", "PMID" : "24415994", "abstract" : "In a task of rating images of artworks in an fMRI scanner, regions in the medial prefrontal cortex that are known to be part of the default mode network (DMN) were positively activated on the highest-rated trials. This is surprising given the DMN's original characterization as the set of brain regions that show greater fMRI activity during rest periods than during performance of tasks requiring focus on external stimuli. But further research showed that DMN regions could be positively activated also in structured tasks, if those tasks involved self-referential thought or self-relevant information. How may our findings be understood in this context? Although our task had no explicit self-referential aspect and the stimuli had no a priori self-relevance to the observers, the experimental design we employed emphasized the personal aspects of aesthetic experience. Observers were told that we were interested in their individual tastes, and asked to base their ratings on how much each artwork \"moved\" them. Moreover, we used little-known artworks that covered a wide range of styles, which led to high individual variability: each artwork was rated highly by some observers and poorly by others. This means that rating-specific neural responses cannot be attributed to the features of any particular artworks, but rather to the aesthetic experience itself. The DMN activity therefore suggests that certain artworks, albeit unfamiliar, may be so well-matched to an individual's unique makeup that they obtain access to the neural substrates concerned with the self-access which other external stimuli normally do not get. This mediates a sense of being \"moved,\" or \"touched from within.\" This account is consistent with the modern notion that individuals' taste in art is linked with their sense of identity, and suggests that DMN activity may serve to signal \"self-relevance\" in a broader sense than has been thought so far.", "author" : [ { "dropping-particle" : "", "family" : "Vessel", "given" : "E A", "non-dropping-particle" : "", "parse-names" : false, "suffix" : "" }, { "dropping-particle" : "", "family" : "Starr", "given" : "G Gabrielle", "non-dropping-particle" : "", "parse-names" : false, "suffix" : "" }, { "dropping-particle" : "", "family" : "Rubin", "given" : "Nava", "non-dropping-particle" : "", "parse-names" : false, "suffix" : "" } ], "container-title" : "Frontiers in neuroscience", "id" : "ITEM-1", "issue" : "December", "issued" : { "date-parts" : [ [ "2013", "1" ] ] }, "page" : "258", "title" : "Art reaches within: aesthetic experience, the self and the default mode network.", "type" : "article-journal", "volume" : "7" }, "uris" : [ "http://www.mendeley.com/documents/?uuid=ed41623c-2c33-476a-a834-68553353ac70" ] } ], "mendeley" : { "formattedCitation" : "(E. A. Vessel, Starr, &amp; Rubin, 2013)", "manualFormatting" : "Vessel, et al. (2013)", "plainTextFormattedCitation" : "(E. A. Vessel, Starr, &amp; Rubin, 2013)", "previouslyFormattedCitation" : "(E. A. Vessel, Starr, &amp; Rubin, 2013)" }, "properties" : { "noteIndex" : 0 }, "schema" : "https://github.com/citation-style-language/schema/raw/master/csl-citation.json" }</w:instrText>
      </w:r>
      <w:r w:rsidR="009D67B9" w:rsidRPr="007A77EF">
        <w:rPr>
          <w:color w:val="auto"/>
        </w:rPr>
        <w:fldChar w:fldCharType="separate"/>
      </w:r>
      <w:r w:rsidR="00EB78A8" w:rsidRPr="007A77EF">
        <w:rPr>
          <w:noProof/>
          <w:color w:val="auto"/>
          <w:lang w:val="en-GB"/>
        </w:rPr>
        <w:t>Vessel, et al.</w:t>
      </w:r>
      <w:r w:rsidR="009D67B9" w:rsidRPr="007A77EF">
        <w:rPr>
          <w:noProof/>
          <w:color w:val="auto"/>
          <w:lang w:val="en-GB"/>
        </w:rPr>
        <w:t xml:space="preserve"> (2013)</w:t>
      </w:r>
      <w:r w:rsidR="009D67B9" w:rsidRPr="007A77EF">
        <w:rPr>
          <w:color w:val="auto"/>
        </w:rPr>
        <w:fldChar w:fldCharType="end"/>
      </w:r>
      <w:r w:rsidR="009D67B9" w:rsidRPr="007A77EF">
        <w:rPr>
          <w:color w:val="auto"/>
          <w:lang w:val="en-GB"/>
        </w:rPr>
        <w:t xml:space="preserve"> argued that the DMN is implicated during aesthetic </w:t>
      </w:r>
      <w:r w:rsidR="009D67B9" w:rsidRPr="007A77EF">
        <w:rPr>
          <w:color w:val="auto"/>
          <w:lang w:val="en-GB"/>
        </w:rPr>
        <w:lastRenderedPageBreak/>
        <w:t xml:space="preserve">experiences because highly moving artworks </w:t>
      </w:r>
      <w:r w:rsidR="009D67B9" w:rsidRPr="007A77EF">
        <w:rPr>
          <w:rFonts w:hAnsi="Times New Roman"/>
          <w:color w:val="auto"/>
          <w:lang w:val="en-GB"/>
        </w:rPr>
        <w:t>‘</w:t>
      </w:r>
      <w:r w:rsidR="009D67B9" w:rsidRPr="007A77EF">
        <w:rPr>
          <w:color w:val="auto"/>
          <w:lang w:val="en-GB"/>
        </w:rPr>
        <w:t>strike a chord</w:t>
      </w:r>
      <w:r w:rsidR="009D67B9" w:rsidRPr="007A77EF">
        <w:rPr>
          <w:rFonts w:hAnsi="Times New Roman"/>
          <w:color w:val="auto"/>
          <w:lang w:val="en-GB"/>
        </w:rPr>
        <w:t xml:space="preserve">’ </w:t>
      </w:r>
      <w:r w:rsidR="009D67B9" w:rsidRPr="007A77EF">
        <w:rPr>
          <w:color w:val="auto"/>
          <w:lang w:val="en-GB"/>
        </w:rPr>
        <w:t>with the viewer and this resonance activa</w:t>
      </w:r>
      <w:r w:rsidR="004E40B1" w:rsidRPr="007A77EF">
        <w:rPr>
          <w:color w:val="auto"/>
          <w:lang w:val="en-GB"/>
        </w:rPr>
        <w:t>tes</w:t>
      </w:r>
      <w:r w:rsidR="009D67B9" w:rsidRPr="007A77EF">
        <w:rPr>
          <w:color w:val="auto"/>
          <w:lang w:val="en-GB"/>
        </w:rPr>
        <w:t xml:space="preserve"> the medial rPFC area.</w:t>
      </w:r>
      <w:r w:rsidRPr="007A77EF">
        <w:rPr>
          <w:color w:val="auto"/>
          <w:lang w:val="en-GB"/>
        </w:rPr>
        <w:t xml:space="preserve"> </w:t>
      </w:r>
    </w:p>
    <w:p w14:paraId="49EAE778" w14:textId="28596200" w:rsidR="00300CBD" w:rsidRPr="007A77EF" w:rsidRDefault="00CB2B4E" w:rsidP="00484388">
      <w:pPr>
        <w:pStyle w:val="BodyA"/>
        <w:spacing w:line="480" w:lineRule="auto"/>
        <w:ind w:firstLine="720"/>
        <w:rPr>
          <w:color w:val="auto"/>
          <w:lang w:val="en-GB"/>
        </w:rPr>
      </w:pPr>
      <w:r w:rsidRPr="007A77EF">
        <w:rPr>
          <w:color w:val="auto"/>
          <w:lang w:val="en-GB"/>
        </w:rPr>
        <w:t xml:space="preserve">The second </w:t>
      </w:r>
      <w:r w:rsidR="000561A2" w:rsidRPr="007A77EF">
        <w:rPr>
          <w:color w:val="auto"/>
          <w:lang w:val="en-GB"/>
        </w:rPr>
        <w:t xml:space="preserve">system related to the ToM </w:t>
      </w:r>
      <w:r w:rsidRPr="007A77EF">
        <w:rPr>
          <w:color w:val="auto"/>
          <w:lang w:val="en-GB"/>
        </w:rPr>
        <w:t xml:space="preserve">is the mirror neuron system (MNS), which co-activates actions, intention and emotions of both the </w:t>
      </w:r>
      <w:r w:rsidRPr="007A77EF">
        <w:rPr>
          <w:iCs/>
          <w:color w:val="auto"/>
          <w:lang w:val="en-GB"/>
        </w:rPr>
        <w:t>self</w:t>
      </w:r>
      <w:r w:rsidRPr="007A77EF">
        <w:rPr>
          <w:color w:val="auto"/>
          <w:lang w:val="en-GB"/>
        </w:rPr>
        <w:t xml:space="preserve"> and others</w:t>
      </w:r>
      <w:r w:rsidR="00314059" w:rsidRPr="007A77EF">
        <w:rPr>
          <w:color w:val="auto"/>
          <w:lang w:val="en-GB"/>
        </w:rPr>
        <w:t xml:space="preserve"> </w:t>
      </w:r>
      <w:r w:rsidR="00195BEB" w:rsidRPr="007A77EF">
        <w:rPr>
          <w:color w:val="auto"/>
        </w:rPr>
        <w:fldChar w:fldCharType="begin" w:fldLock="1"/>
      </w:r>
      <w:r w:rsidR="000C06E2" w:rsidRPr="007A77EF">
        <w:rPr>
          <w:color w:val="auto"/>
          <w:lang w:val="en-GB"/>
        </w:rPr>
        <w:instrText>ADDIN CSL_CITATION { "citationItems" : [ { "id" : "ITEM-1", "itemData" : { "DOI" : "10.1016/j.dcn.2014.01.002", "ISSN" : "1878-9307", "PMID" : "24552989", "abstract" : "Theory of mind (ToM) is a core topic in both social neuroscience and developmental psychology, yet theory and data from each field have only minimally constrained thinking in the other. The two fields might be fruitfully integrated, however, if social neuroscientists sought evidence directly relevant to current accounts of ToM development: modularity, simulation, executive, and theory theory accounts. Here we extend the distinct predictions made by each theory to the neural level, describe neuroimaging evidence that in principle would be relevant to testing each account, and discuss such evidence where it exists. We propose that it would be mutually beneficial for both fields if ToM neuroimaging studies focused more on integrating developmental accounts of ToM acquisition with neuroimaging approaches, and suggest ways this might be achieved.", "author" : [ { "dropping-particle" : "V", "family" : "Mahy", "given" : "Caitlin E", "non-dropping-particle" : "", "parse-names" : false, "suffix" : "" }, { "dropping-particle" : "", "family" : "Moses", "given" : "Louis J", "non-dropping-particle" : "", "parse-names" : false, "suffix" : "" }, { "dropping-particle" : "", "family" : "Pfeifer", "given" : "Jennifer H", "non-dropping-particle" : "", "parse-names" : false, "suffix" : "" } ], "container-title" : "Developmental cognitive neuroscience", "id" : "ITEM-1", "issued" : { "date-parts" : [ [ "2014", "1", "25" ] ] }, "page" : "68-81", "publisher" : "Elsevier Ltd", "title" : "How and where: Theory-of-mind in the brain.", "type" : "article-journal", "volume" : "9C" }, "uris" : [ "http://www.mendeley.com/documents/?uuid=97b4659c-19b4-4236-9bd8-0948bbd79899" ] }, { "id" : "ITEM-2", "itemData" : { "DOI" : "10.3389/fnhum.2013.00571", "ISSN" : "1662-5161", "PMID" : "24062671", "abstract" : "Recent evidence for the fractionation of the default mode network (DMN) into functionally distinguishable subdivisions with unique patterns of connectivity calls for a reconceptualization of the relationship between this network and self-referential processing. Advances in resting-state functional connectivity analyses are beginning to reveal increasingly complex patterns of organization within the key nodes of the DMN - medial prefrontal cortex and posterior cingulate cortex - as well as between these nodes and other brain systems. Here we review recent examinations of the relationships between the DMN and various aspects of self-relevant and social-cognitive processing in light of emerging evidence for heterogeneity within this network. Drawing from a rapidly evolving social-cognitive neuroscience literature, we propose that embodied simulation and mentalizing are processes which allow us to gain insight into another's physical and mental state by providing privileged access to our own physical and mental states. Embodiment implies that the same neural systems are engaged for self- and other-understanding through a simulation mechanism, while mentalizing refers to the use of high-level conceptual information to make inferences about the mental states of self and others. These mechanisms work together to provide a coherent representation of the self and by extension, of others. Nodes of the DMN selectively interact with brain systems for embodiment and mentalizing, including the mirror neuron system, to produce appropriate mappings in the service of social-cognitive demands.", "author" : [ { "dropping-particle" : "", "family" : "Molnar-Szakacs", "given" : "Istvan", "non-dropping-particle" : "", "parse-names" : false, "suffix" : "" }, { "dropping-particle" : "", "family" : "Uddin", "given" : "Lucina Q", "non-dropping-particle" : "", "parse-names" : false, "suffix" : "" } ], "container-title" : "Frontiers in human neuroscience", "id" : "ITEM-2", "issue" : "September", "issued" : { "date-parts" : [ [ "2013", "1" ] ] }, "page" : "571", "title" : "Self-Processing and the Default Mode Network: Interactions with the Mirror Neuron System.", "type" : "article-journal", "volume" : "7" }, "uris" : [ "http://www.mendeley.com/documents/?uuid=466fd372-8230-4a0b-bac9-a328b044bf24" ] }, { "id" : "ITEM-3", "itemData" : { "DOI" : "10.1162/jocn_a_00281", "ISSN" : "1530-8898", "PMID" : "22905821", "abstract" : "Human cognition is increasingly characterized as an emergent property of interactions among distributed, functionally specialized brain networks. We recently demonstrated that the antagonistic \"default\" and \"dorsal attention\" networks--subserving internally and externally directed cognition, respectively--are modulated by a third \"frontoparietal control\" network that flexibly couples with either network depending on task domain. However, little is known about the intrinsic functional architecture underlying this relationship. We used graph theory to analyze network properties of intrinsic functional connectivity within and between these three large-scale networks. Task-based activation from three independent studies were used to identify reliable brain regions (\"nodes\") of each network. We then examined pairwise connections (\"edges\") between nodes, as defined by resting-state functional connectivity MRI. Importantly, we used a novel bootstrap resampling procedure to determine the reliability of graph edges. Furthermore, we examined both full and partial correlations. As predicted, there was a higher degree of integration within each network than between networks. Critically, whereas the default and dorsal attention networks shared little positive connectivity with one another, the frontoparietal control network showed a high degree of between-network interconnectivity with each of these networks. Furthermore, we identified nodes within the frontoparietal control network of three different types--default-aligned, dorsal attention-aligned, and dual-aligned--that we propose play dissociable roles in mediating internetwork communication. The results provide evidence consistent with the idea that the frontoparietal control network plays a pivotal gate-keeping role in goal-directed cognition, mediating the dynamic balance between default and dorsal attention networks.", "author" : [ { "dropping-particle" : "", "family" : "Spreng", "given" : "R Nathan", "non-dropping-particle" : "", "parse-names" : false, "suffix" : "" }, { "dropping-particle" : "", "family" : "Sepulcre", "given" : "Jorge", "non-dropping-particle" : "", "parse-names" : false, "suffix" : "" }, { "dropping-particle" : "", "family" : "Turner", "given" : "Gary R", "non-dropping-particle" : "", "parse-names" : false, "suffix" : "" }, { "dropping-particle" : "", "family" : "Stevens", "given" : "W Dale", "non-dropping-particle" : "", "parse-names" : false, "suffix" : "" }, { "dropping-particle" : "", "family" : "Schacter", "given" : "Daniel L", "non-dropping-particle" : "", "parse-names" : false, "suffix" : "" } ], "container-title" : "Journal of cognitive neuroscience", "id" : "ITEM-3", "issue" : "1", "issued" : { "date-parts" : [ [ "2013", "1" ] ] }, "page" : "74-86", "title" : "Intrinsic architecture underlying the relations among the default, dorsal attention, and frontoparietal control networks of the human brain.", "type" : "article-journal", "volume" : "25" }, "uris" : [ "http://www.mendeley.com/documents/?uuid=aedb42f9-df71-48af-acac-0763409b5c1a" ] } ], "mendeley" : { "formattedCitation" : "(Mahy et al., 2014; Molnar-Szakacs &amp; Uddin, 2013; Spreng et al., 2013)", "plainTextFormattedCitation" : "(Mahy et al., 2014; Molnar-Szakacs &amp; Uddin, 2013; Spreng et al., 2013)", "previouslyFormattedCitation" : "(Mahy et al., 2014; Molnar-Szakacs &amp; Uddin, 2013; Spreng et al., 2013)" }, "properties" : { "noteIndex" : 0 }, "schema" : "https://github.com/citation-style-language/schema/raw/master/csl-citation.json" }</w:instrText>
      </w:r>
      <w:r w:rsidR="00195BEB" w:rsidRPr="007A77EF">
        <w:rPr>
          <w:color w:val="auto"/>
        </w:rPr>
        <w:fldChar w:fldCharType="separate"/>
      </w:r>
      <w:r w:rsidR="00195BEB" w:rsidRPr="007A77EF">
        <w:rPr>
          <w:noProof/>
          <w:color w:val="auto"/>
          <w:lang w:val="en-GB"/>
        </w:rPr>
        <w:t>(Mahy et al., 2014; Molnar-Szakacs &amp; Uddin, 2013; Spreng et al., 2013)</w:t>
      </w:r>
      <w:r w:rsidR="00195BEB" w:rsidRPr="007A77EF">
        <w:rPr>
          <w:color w:val="auto"/>
        </w:rPr>
        <w:fldChar w:fldCharType="end"/>
      </w:r>
      <w:r w:rsidRPr="007A77EF">
        <w:rPr>
          <w:color w:val="auto"/>
          <w:lang w:val="en-GB"/>
        </w:rPr>
        <w:t xml:space="preserve"> and includes: inferior frontal gyrus, premotor cortex, anterior insula, primary sensory and primary motor cortices, superior temporal sulcus and rostral part of the inferior parietal lobule. This network may simulate the mental states of others by enabling a direct mapping of the actions, goals and intentions of others to the </w:t>
      </w:r>
      <w:r w:rsidRPr="007A77EF">
        <w:rPr>
          <w:iCs/>
          <w:color w:val="auto"/>
          <w:lang w:val="en-GB"/>
        </w:rPr>
        <w:t>self</w:t>
      </w:r>
      <w:r w:rsidRPr="007A77EF">
        <w:rPr>
          <w:color w:val="auto"/>
          <w:lang w:val="en-GB"/>
        </w:rPr>
        <w:t>.</w:t>
      </w:r>
      <w:r w:rsidR="00851549" w:rsidRPr="007A77EF">
        <w:rPr>
          <w:color w:val="auto"/>
          <w:lang w:val="en-GB"/>
        </w:rPr>
        <w:t xml:space="preserve"> Understanding observed actions has been described as embodiment which is</w:t>
      </w:r>
      <w:r w:rsidR="006B5874" w:rsidRPr="007A77EF">
        <w:rPr>
          <w:color w:val="auto"/>
          <w:lang w:val="en-GB"/>
        </w:rPr>
        <w:t>, in relation to the MNS,</w:t>
      </w:r>
      <w:r w:rsidR="00851549" w:rsidRPr="007A77EF">
        <w:rPr>
          <w:color w:val="auto"/>
          <w:lang w:val="en-GB"/>
        </w:rPr>
        <w:t xml:space="preserve"> the simulation of another</w:t>
      </w:r>
      <w:r w:rsidR="00851549" w:rsidRPr="007A77EF">
        <w:rPr>
          <w:color w:val="auto"/>
          <w:lang w:val="en-GB"/>
        </w:rPr>
        <w:t>’</w:t>
      </w:r>
      <w:r w:rsidR="00851549" w:rsidRPr="007A77EF">
        <w:rPr>
          <w:color w:val="auto"/>
          <w:lang w:val="en-GB"/>
        </w:rPr>
        <w:t>s physical action</w:t>
      </w:r>
      <w:r w:rsidR="006B5874" w:rsidRPr="007A77EF">
        <w:rPr>
          <w:color w:val="auto"/>
          <w:lang w:val="en-GB"/>
        </w:rPr>
        <w:t xml:space="preserve"> (</w:t>
      </w:r>
      <w:r w:rsidR="000561A2" w:rsidRPr="007A77EF">
        <w:rPr>
          <w:color w:val="auto"/>
          <w:lang w:val="en-GB"/>
        </w:rPr>
        <w:t xml:space="preserve">see </w:t>
      </w:r>
      <w:r w:rsidR="000561A2" w:rsidRPr="007A77EF">
        <w:rPr>
          <w:color w:val="auto"/>
          <w:lang w:val="en-GB"/>
        </w:rPr>
        <w:fldChar w:fldCharType="begin" w:fldLock="1"/>
      </w:r>
      <w:r w:rsidR="00FB76AD" w:rsidRPr="007A77EF">
        <w:rPr>
          <w:color w:val="auto"/>
          <w:lang w:val="en-GB"/>
        </w:rPr>
        <w:instrText>ADDIN CSL_CITATION { "citationItems" : [ { "id" : "ITEM-1", "itemData" : { "abstract" : "This book explores how people's subjective, felt experiences of their bodies in action provide part of the fundamental grounding for human cognition and language. Cognition is what occurs when the body engages the physical and cultural world, and it must be studied in terms of the dynamical interactions between people and the environment. Human language and thought emerge from recurring patterns of embodied activity that constrain ongoing intelligent behavior. We must not assume cognition to be purely internal, symbolic, computational, and disembodied, but seek out the gross and detailed ways in which language and thought are inextricably shaped by embodied action. Embodiment and Cognitive Science describes the abundance of empirical evidence from many disciplines, including work on perception, concepts, imagery and reasoning, language and communication, cognitive development, and emotions and consciousness, that support the idea that the mind is embodied.", "author" : [ { "dropping-particle" : "", "family" : "Gibbs Jr.", "given" : "Raymond W.", "non-dropping-particle" : "", "parse-names" : false, "suffix" : "" } ], "id" : "ITEM-1", "issued" : { "date-parts" : [ [ "2006" ] ] }, "publisher" : "Cambridge University Press", "publisher-place" : "New York", "title" : "Embodiment and cognitive science.", "type" : "book" }, "uris" : [ "http://www.mendeley.com/documents/?uuid=fbdf35ea-db9b-40be-86f0-678915403bbe" ] } ], "mendeley" : { "formattedCitation" : "(Gibbs Jr., 2006)", "manualFormatting" : "Gibbs Jr. (2006)", "plainTextFormattedCitation" : "(Gibbs Jr., 2006)", "previouslyFormattedCitation" : "(Gibbs Jr., 2006)" }, "properties" : { "noteIndex" : 0 }, "schema" : "https://github.com/citation-style-language/schema/raw/master/csl-citation.json" }</w:instrText>
      </w:r>
      <w:r w:rsidR="000561A2" w:rsidRPr="007A77EF">
        <w:rPr>
          <w:color w:val="auto"/>
          <w:lang w:val="en-GB"/>
        </w:rPr>
        <w:fldChar w:fldCharType="separate"/>
      </w:r>
      <w:r w:rsidR="000561A2" w:rsidRPr="007A77EF">
        <w:rPr>
          <w:noProof/>
          <w:color w:val="auto"/>
          <w:lang w:val="en-GB"/>
        </w:rPr>
        <w:t>Gibbs Jr. (2006)</w:t>
      </w:r>
      <w:r w:rsidR="000561A2" w:rsidRPr="007A77EF">
        <w:rPr>
          <w:color w:val="auto"/>
          <w:lang w:val="en-GB"/>
        </w:rPr>
        <w:fldChar w:fldCharType="end"/>
      </w:r>
      <w:r w:rsidR="000561A2" w:rsidRPr="007A77EF">
        <w:rPr>
          <w:color w:val="auto"/>
          <w:lang w:val="en-GB"/>
        </w:rPr>
        <w:t xml:space="preserve"> </w:t>
      </w:r>
      <w:r w:rsidR="001D689F" w:rsidRPr="007A77EF">
        <w:rPr>
          <w:color w:val="auto"/>
          <w:lang w:val="en-GB"/>
        </w:rPr>
        <w:t xml:space="preserve">for </w:t>
      </w:r>
      <w:r w:rsidR="002A5B33" w:rsidRPr="007A77EF">
        <w:rPr>
          <w:color w:val="auto"/>
          <w:lang w:val="en-GB"/>
        </w:rPr>
        <w:t xml:space="preserve">a discussion on </w:t>
      </w:r>
      <w:r w:rsidR="001D689F" w:rsidRPr="007A77EF">
        <w:rPr>
          <w:color w:val="auto"/>
          <w:lang w:val="en-GB"/>
        </w:rPr>
        <w:t>embodiment and cognitive science</w:t>
      </w:r>
      <w:r w:rsidR="000561A2" w:rsidRPr="007A77EF">
        <w:rPr>
          <w:color w:val="auto"/>
          <w:lang w:val="en-GB"/>
        </w:rPr>
        <w:t>)</w:t>
      </w:r>
      <w:r w:rsidR="00851549" w:rsidRPr="007A77EF">
        <w:rPr>
          <w:color w:val="auto"/>
          <w:lang w:val="en-GB"/>
        </w:rPr>
        <w:t xml:space="preserve">. </w:t>
      </w:r>
      <w:r w:rsidRPr="007A77EF">
        <w:rPr>
          <w:color w:val="auto"/>
          <w:lang w:val="en-GB"/>
        </w:rPr>
        <w:t xml:space="preserve"> Molnar-Szakacs and Uddin (2013) have suggested that the DMN and MNS work together to provide a coherent representation of the </w:t>
      </w:r>
      <w:r w:rsidRPr="007A77EF">
        <w:rPr>
          <w:iCs/>
          <w:color w:val="auto"/>
          <w:lang w:val="en-GB"/>
        </w:rPr>
        <w:t>self</w:t>
      </w:r>
      <w:r w:rsidRPr="007A77EF">
        <w:rPr>
          <w:color w:val="auto"/>
          <w:lang w:val="en-GB"/>
        </w:rPr>
        <w:t xml:space="preserve"> and of others</w:t>
      </w:r>
      <w:r w:rsidR="005F7311" w:rsidRPr="007A77EF">
        <w:rPr>
          <w:color w:val="auto"/>
          <w:lang w:val="en-GB"/>
        </w:rPr>
        <w:t xml:space="preserve"> by extension</w:t>
      </w:r>
      <w:r w:rsidRPr="007A77EF">
        <w:rPr>
          <w:color w:val="auto"/>
          <w:lang w:val="en-GB"/>
        </w:rPr>
        <w:t>. The DMN may be activated during cognitive empathy or simulation of the mental state of another whereas activation of the MNS is related to embodiment (i.e. simulation of another</w:t>
      </w:r>
      <w:r w:rsidRPr="007A77EF">
        <w:rPr>
          <w:rFonts w:hAnsi="Times New Roman"/>
          <w:color w:val="auto"/>
          <w:lang w:val="en-GB"/>
        </w:rPr>
        <w:t>’</w:t>
      </w:r>
      <w:r w:rsidRPr="007A77EF">
        <w:rPr>
          <w:color w:val="auto"/>
          <w:lang w:val="en-GB"/>
        </w:rPr>
        <w:t xml:space="preserve">s physical actions). </w:t>
      </w:r>
    </w:p>
    <w:p w14:paraId="53BECD9F" w14:textId="00041723" w:rsidR="009D67B9" w:rsidRPr="007A77EF" w:rsidRDefault="00CB2B4E" w:rsidP="00484388">
      <w:pPr>
        <w:pStyle w:val="BodyA"/>
        <w:spacing w:line="480" w:lineRule="auto"/>
        <w:rPr>
          <w:color w:val="auto"/>
          <w:lang w:val="en-GB"/>
        </w:rPr>
      </w:pPr>
      <w:r w:rsidRPr="007A77EF">
        <w:rPr>
          <w:color w:val="auto"/>
          <w:lang w:val="en-GB"/>
        </w:rPr>
        <w:tab/>
        <w:t xml:space="preserve">The rPFC appears to play a </w:t>
      </w:r>
      <w:r w:rsidR="000561A2" w:rsidRPr="007A77EF">
        <w:rPr>
          <w:color w:val="auto"/>
          <w:lang w:val="en-GB"/>
        </w:rPr>
        <w:t xml:space="preserve">crucial </w:t>
      </w:r>
      <w:r w:rsidRPr="007A77EF">
        <w:rPr>
          <w:color w:val="auto"/>
          <w:lang w:val="en-GB"/>
        </w:rPr>
        <w:t xml:space="preserve">role with respect to the integration of cognitive and emotional processes that are </w:t>
      </w:r>
      <w:r w:rsidRPr="007A77EF">
        <w:rPr>
          <w:iCs/>
          <w:color w:val="auto"/>
          <w:lang w:val="en-GB"/>
        </w:rPr>
        <w:t>self</w:t>
      </w:r>
      <w:r w:rsidRPr="007A77EF">
        <w:rPr>
          <w:color w:val="auto"/>
          <w:lang w:val="en-GB"/>
        </w:rPr>
        <w:t xml:space="preserve">-relevant </w:t>
      </w:r>
      <w:r w:rsidR="00195BEB" w:rsidRPr="007A77EF">
        <w:rPr>
          <w:color w:val="auto"/>
          <w:lang w:val="en-GB"/>
        </w:rPr>
        <w:fldChar w:fldCharType="begin" w:fldLock="1"/>
      </w:r>
      <w:r w:rsidR="000C06E2" w:rsidRPr="007A77EF">
        <w:rPr>
          <w:color w:val="auto"/>
          <w:lang w:val="en-GB"/>
        </w:rPr>
        <w:instrText>ADDIN CSL_CITATION { "citationItems" : [ { "id" : "ITEM-1", "itemData" : { "DOI" : "10.1093/scan/nsp001", "ISSN" : "1749-5024", "PMID" : "19270039", "abstract" : "Brain mechanisms underlying explicit evaluation of emotion have been explored using different tasks including 'stimulus-focused evaluation', 'evaluation of one's own emotion' and 'evaluation of others' emotions'. Yet the extent to which similar brain mechanisms underlie different evaluation tasks is unclear. A meta-analysis of published neuroimaging studies of explicit emotional evaluation was conducted to examine common and distinct regions underlying these different evaluation tasks. This study revealed regions common to all three tasks: The amygdala and LPFC as common regions may be involved in emotion-cognition interactions, and the DMPFC may possibly play integrative roles in explicit emotional evaluation. Distinct regions were also identified: (i) the sensory cortex and VLPFC were specifically associated with 'stimulus evaluation', possibly involved in perceptual and conceptual processing; (ii) the insula and rACC were specifically associated with 'evaluation of one's own emotion', potentially associated with interoceptive and experiential processing; and (iii) the STS and TPJ were specifically associated with 'evaluation of others' emotions', potentially reflecting their roles in TOM and empathy. These findings suggest that different types of explicit emotional evaluation may involve common and distinct networks and provide new insights on multiple mechanisms underlying explicit emotional evaluation.", "author" : [ { "dropping-particle" : "", "family" : "Lee", "given" : "Kyung Hwa", "non-dropping-particle" : "", "parse-names" : false, "suffix" : "" }, { "dropping-particle" : "", "family" : "Siegle", "given" : "Greg J", "non-dropping-particle" : "", "parse-names" : false, "suffix" : "" } ], "container-title" : "Social cognitive and affective neuroscience", "id" : "ITEM-1", "issue" : "5", "issued" : { "date-parts" : [ [ "2012", "6" ] ] }, "page" : "521-34", "title" : "Common and distinct brain networks underlying explicit emotional evaluation: a meta-analytic study.", "type" : "article-journal", "volume" : "7" }, "uris" : [ "http://www.mendeley.com/documents/?uuid=f2c3a2a5-3765-44ba-a1e8-fb1ee9567a23" ] } ], "mendeley" : { "formattedCitation" : "(Lee &amp; Siegle, 2012)", "plainTextFormattedCitation" : "(Lee &amp; Siegle, 2012)", "previouslyFormattedCitation" : "(Lee &amp; Siegle, 2012)" }, "properties" : { "noteIndex" : 0 }, "schema" : "https://github.com/citation-style-language/schema/raw/master/csl-citation.json" }</w:instrText>
      </w:r>
      <w:r w:rsidR="00195BEB" w:rsidRPr="007A77EF">
        <w:rPr>
          <w:color w:val="auto"/>
          <w:lang w:val="en-GB"/>
        </w:rPr>
        <w:fldChar w:fldCharType="separate"/>
      </w:r>
      <w:r w:rsidR="00195BEB" w:rsidRPr="007A77EF">
        <w:rPr>
          <w:noProof/>
          <w:color w:val="auto"/>
          <w:lang w:val="en-GB"/>
        </w:rPr>
        <w:t>(Lee &amp; Siegle, 2012)</w:t>
      </w:r>
      <w:r w:rsidR="00195BEB" w:rsidRPr="007A77EF">
        <w:rPr>
          <w:color w:val="auto"/>
          <w:lang w:val="en-GB"/>
        </w:rPr>
        <w:fldChar w:fldCharType="end"/>
      </w:r>
      <w:r w:rsidRPr="007A77EF">
        <w:rPr>
          <w:color w:val="auto"/>
          <w:lang w:val="en-GB"/>
        </w:rPr>
        <w:t>.</w:t>
      </w:r>
      <w:r w:rsidR="00195BEB" w:rsidRPr="007A77EF">
        <w:rPr>
          <w:color w:val="auto"/>
          <w:lang w:val="en-GB"/>
        </w:rPr>
        <w:t xml:space="preserve"> </w:t>
      </w:r>
      <w:r w:rsidR="00ED7DCD" w:rsidRPr="007A77EF">
        <w:rPr>
          <w:color w:val="auto"/>
          <w:lang w:val="en-GB"/>
        </w:rPr>
        <w:t>A</w:t>
      </w:r>
      <w:r w:rsidR="000C06E2" w:rsidRPr="007A77EF">
        <w:rPr>
          <w:color w:val="auto"/>
          <w:lang w:val="en-GB"/>
        </w:rPr>
        <w:t xml:space="preserve">ctivation in medial </w:t>
      </w:r>
      <w:r w:rsidR="00ED7DCD" w:rsidRPr="007A77EF">
        <w:rPr>
          <w:color w:val="auto"/>
          <w:lang w:val="en-GB"/>
        </w:rPr>
        <w:t>PFC</w:t>
      </w:r>
      <w:r w:rsidR="000C06E2" w:rsidRPr="007A77EF">
        <w:rPr>
          <w:color w:val="auto"/>
          <w:lang w:val="en-GB"/>
        </w:rPr>
        <w:t xml:space="preserve"> (including medial BA10) </w:t>
      </w:r>
      <w:r w:rsidR="00ED7DCD" w:rsidRPr="007A77EF">
        <w:rPr>
          <w:color w:val="auto"/>
          <w:lang w:val="en-GB"/>
        </w:rPr>
        <w:t xml:space="preserve">have been linked </w:t>
      </w:r>
      <w:r w:rsidR="000C06E2" w:rsidRPr="007A77EF">
        <w:rPr>
          <w:color w:val="auto"/>
          <w:lang w:val="en-GB"/>
        </w:rPr>
        <w:t>to the awareness of emotional valence</w:t>
      </w:r>
      <w:r w:rsidR="00ED7DCD" w:rsidRPr="007A77EF">
        <w:rPr>
          <w:color w:val="auto"/>
          <w:lang w:val="en-GB"/>
        </w:rPr>
        <w:t xml:space="preserve"> </w:t>
      </w:r>
      <w:r w:rsidR="009D21CC" w:rsidRPr="007A77EF">
        <w:rPr>
          <w:color w:val="auto"/>
          <w:lang w:val="en-GB"/>
        </w:rPr>
        <w:fldChar w:fldCharType="begin" w:fldLock="1"/>
      </w:r>
      <w:r w:rsidR="009D21CC" w:rsidRPr="007A77EF">
        <w:rPr>
          <w:color w:val="auto"/>
          <w:lang w:val="en-GB"/>
        </w:rPr>
        <w:instrText>ADDIN CSL_CITATION { "citationItems" : [ { "id" : "ITEM-1", "itemData" : { "DOI" : "10.1523/JNEUROSCI.6434-09.2010", "author" : [ { "dropping-particle" : "", "family" : "Amting", "given" : "JM", "non-dropping-particle" : "", "parse-names" : false, "suffix" : "" } ], "container-title" : "The Journal of Neuroscience", "id" : "ITEM-1", "issue" : "30", "issued" : { "date-parts" : [ [ "2010" ] ] }, "page" : "10039-10047", "title" : "Multiple Mechanisms of Consciousness: The Neural Correlates of Emotional Awareness", "type" : "article-journal", "volume" : "30" }, "uris" : [ "http://www.mendeley.com/documents/?uuid=262645de-3f61-4f8b-ba94-615c555d10d8" ] } ], "mendeley" : { "formattedCitation" : "(Amting, 2010)", "plainTextFormattedCitation" : "(Amting, 2010)", "previouslyFormattedCitation" : "(Amting, 2010)" }, "properties" : { "noteIndex" : 0 }, "schema" : "https://github.com/citation-style-language/schema/raw/master/csl-citation.json" }</w:instrText>
      </w:r>
      <w:r w:rsidR="009D21CC" w:rsidRPr="007A77EF">
        <w:rPr>
          <w:color w:val="auto"/>
          <w:lang w:val="en-GB"/>
        </w:rPr>
        <w:fldChar w:fldCharType="separate"/>
      </w:r>
      <w:r w:rsidR="009D21CC" w:rsidRPr="007A77EF">
        <w:rPr>
          <w:noProof/>
          <w:color w:val="auto"/>
          <w:lang w:val="en-GB"/>
        </w:rPr>
        <w:t>(Amting, 2010)</w:t>
      </w:r>
      <w:r w:rsidR="009D21CC" w:rsidRPr="007A77EF">
        <w:rPr>
          <w:color w:val="auto"/>
          <w:lang w:val="en-GB"/>
        </w:rPr>
        <w:fldChar w:fldCharType="end"/>
      </w:r>
      <w:r w:rsidR="000C06E2" w:rsidRPr="007A77EF">
        <w:rPr>
          <w:color w:val="auto"/>
          <w:lang w:val="en-GB"/>
        </w:rPr>
        <w:t>, particularly of positive emotions and the awareness of appetitive behaviours during a picture rating task</w:t>
      </w:r>
      <w:r w:rsidR="009D21CC" w:rsidRPr="007A77EF">
        <w:rPr>
          <w:color w:val="auto"/>
          <w:lang w:val="en-GB"/>
        </w:rPr>
        <w:t xml:space="preserve"> </w:t>
      </w:r>
      <w:r w:rsidR="009D21CC" w:rsidRPr="007A77EF">
        <w:rPr>
          <w:color w:val="auto"/>
          <w:lang w:val="en-GB"/>
        </w:rPr>
        <w:fldChar w:fldCharType="begin" w:fldLock="1"/>
      </w:r>
      <w:r w:rsidR="009D21CC" w:rsidRPr="007A77EF">
        <w:rPr>
          <w:color w:val="auto"/>
          <w:lang w:val="en-GB"/>
        </w:rPr>
        <w:instrText>ADDIN CSL_CITATION { "citationItems" : [ { "id" : "ITEM-1", "itemData" : { "DOI" : "10.1016/j.neuroimage.2004.05.015", "ISSN" : "1053-8119", "PMID" : "15325353", "abstract" : "Prefrontal cortex (PFC) activity associated with emotional evaluation and subsequent memory was investigated with event-related functional MRI (fMRI). Participants were scanned while rating the pleasantness of emotionally positive, negative, and neutral pictures, and memory for the pictures was tested after scanning. Emotional evaluation was measured by comparing activity during the picture rating task relative to baseline, and successful encoding was measured by comparing activity for subsequently remembered versus forgotten pictures (Dm effect). The effect of arousal on these measures was indicated by greater activity for both positive and negative pictures than for neutral ones, and the effect of valence was indicated by differences in activity between positive and negative pictures. The study yielded three main results. First, consistent with the valence hypothesis, specific regions in left dorsolateral PFC were more activated for positive than for negative picture evaluation, whereas regions in right ventrolateral PFC showed the converse pattern. Second, dorsomedial PFC activity was sensitive to emotional arousal, whereas ventromedial PFC activity was sensitive to positive valence, consistent with evidence linking these regions, respectively, to emotional processing and self-awareness or appetitive behavior. Finally, successful encoding (Dm) activity in left ventrolateral and dorsolateral PFC was greater for arousing than for neutral pictures. This finding suggests that the enhancing effect of emotion on memory formation is partly due to an augmentation of PFC-mediated strategic, semantic, and working memory operations. These results underscore the critical role of PFC in emotional evaluation and memory, and disentangle the effects of arousal and valence across PFC regions associated with different cognitive functions.", "author" : [ { "dropping-particle" : "", "family" : "Dolcos", "given" : "Florin", "non-dropping-particle" : "", "parse-names" : false, "suffix" : "" }, { "dropping-particle" : "", "family" : "LaBar", "given" : "Kevin S", "non-dropping-particle" : "", "parse-names" : false, "suffix" : "" }, { "dropping-particle" : "", "family" : "Cabeza", "given" : "Roberto", "non-dropping-particle" : "", "parse-names" : false, "suffix" : "" } ], "container-title" : "NeuroImage", "id" : "ITEM-1", "issue" : "1", "issued" : { "date-parts" : [ [ "2004", "9" ] ] }, "page" : "64-74", "title" : "Dissociable effects of arousal and valence on prefrontal activity indexing emotional evaluation and subsequent memory: an event-related fMRI study.", "type" : "article-journal", "volume" : "23" }, "uris" : [ "http://www.mendeley.com/documents/?uuid=914311be-19ea-470e-929b-e1c2db15e220" ] } ], "mendeley" : { "formattedCitation" : "(Dolcos, LaBar, &amp; Cabeza, 2004)", "plainTextFormattedCitation" : "(Dolcos, LaBar, &amp; Cabeza, 2004)", "previouslyFormattedCitation" : "(Dolcos, LaBar, &amp; Cabeza, 2004)" }, "properties" : { "noteIndex" : 0 }, "schema" : "https://github.com/citation-style-language/schema/raw/master/csl-citation.json" }</w:instrText>
      </w:r>
      <w:r w:rsidR="009D21CC" w:rsidRPr="007A77EF">
        <w:rPr>
          <w:color w:val="auto"/>
          <w:lang w:val="en-GB"/>
        </w:rPr>
        <w:fldChar w:fldCharType="separate"/>
      </w:r>
      <w:r w:rsidR="009D21CC" w:rsidRPr="007A77EF">
        <w:rPr>
          <w:noProof/>
          <w:color w:val="auto"/>
          <w:lang w:val="en-GB"/>
        </w:rPr>
        <w:t>(Dolcos, LaBar, &amp; Cabeza, 2004)</w:t>
      </w:r>
      <w:r w:rsidR="009D21CC" w:rsidRPr="007A77EF">
        <w:rPr>
          <w:color w:val="auto"/>
          <w:lang w:val="en-GB"/>
        </w:rPr>
        <w:fldChar w:fldCharType="end"/>
      </w:r>
      <w:r w:rsidR="000C06E2" w:rsidRPr="007A77EF">
        <w:rPr>
          <w:color w:val="auto"/>
          <w:lang w:val="en-GB"/>
        </w:rPr>
        <w:t xml:space="preserve">. </w:t>
      </w:r>
      <w:r w:rsidR="00300CBD" w:rsidRPr="007A77EF">
        <w:rPr>
          <w:color w:val="auto"/>
          <w:lang w:val="en-GB"/>
        </w:rPr>
        <w:t xml:space="preserve">Medial areas of the rPFC have also been associated with the processing of positive emotions within art. </w:t>
      </w:r>
      <w:r w:rsidR="009D21CC" w:rsidRPr="007A77EF">
        <w:rPr>
          <w:color w:val="auto"/>
          <w:lang w:val="en-GB"/>
        </w:rPr>
        <w:t>Vessel et al. (201</w:t>
      </w:r>
      <w:r w:rsidR="00535389" w:rsidRPr="007A77EF">
        <w:rPr>
          <w:color w:val="auto"/>
          <w:lang w:val="en-GB"/>
        </w:rPr>
        <w:t>2</w:t>
      </w:r>
      <w:r w:rsidR="009D21CC" w:rsidRPr="007A77EF">
        <w:rPr>
          <w:color w:val="auto"/>
          <w:lang w:val="en-GB"/>
        </w:rPr>
        <w:t xml:space="preserve">) </w:t>
      </w:r>
      <w:r w:rsidR="00300CBD" w:rsidRPr="007A77EF">
        <w:rPr>
          <w:color w:val="auto"/>
          <w:lang w:val="en-GB"/>
        </w:rPr>
        <w:t xml:space="preserve">found that only artworks that were seen as highly pleasing activated medial rPFC. </w:t>
      </w:r>
      <w:r w:rsidR="00B35B9A" w:rsidRPr="007A77EF">
        <w:rPr>
          <w:color w:val="auto"/>
          <w:lang w:val="en-GB"/>
        </w:rPr>
        <w:t>Similarly</w:t>
      </w:r>
      <w:r w:rsidR="00300CBD" w:rsidRPr="007A77EF">
        <w:rPr>
          <w:color w:val="auto"/>
          <w:lang w:val="en-GB"/>
        </w:rPr>
        <w:t xml:space="preserve">, Kreplin and Fairclough (2013) identified </w:t>
      </w:r>
      <w:r w:rsidR="00164713" w:rsidRPr="007A77EF">
        <w:rPr>
          <w:color w:val="auto"/>
          <w:lang w:val="en-GB"/>
        </w:rPr>
        <w:t xml:space="preserve">increased </w:t>
      </w:r>
      <w:r w:rsidR="005F7311" w:rsidRPr="007A77EF">
        <w:rPr>
          <w:color w:val="auto"/>
          <w:lang w:val="en-GB"/>
        </w:rPr>
        <w:t xml:space="preserve">activation of the </w:t>
      </w:r>
      <w:r w:rsidR="00300CBD" w:rsidRPr="007A77EF">
        <w:rPr>
          <w:color w:val="auto"/>
          <w:lang w:val="en-GB"/>
        </w:rPr>
        <w:t xml:space="preserve">medial rPFC </w:t>
      </w:r>
      <w:r w:rsidR="00C02320" w:rsidRPr="007A77EF">
        <w:rPr>
          <w:color w:val="auto"/>
          <w:lang w:val="en-GB"/>
        </w:rPr>
        <w:t xml:space="preserve">using </w:t>
      </w:r>
      <w:r w:rsidR="00B85A2B" w:rsidRPr="007A77EF">
        <w:rPr>
          <w:color w:val="auto"/>
          <w:lang w:val="en-GB"/>
        </w:rPr>
        <w:t>functional near-infrared spectroscopy (</w:t>
      </w:r>
      <w:r w:rsidR="00D42BF3" w:rsidRPr="007A77EF">
        <w:rPr>
          <w:color w:val="auto"/>
          <w:lang w:val="en-GB"/>
        </w:rPr>
        <w:t>fNIRS</w:t>
      </w:r>
      <w:r w:rsidR="00B85A2B" w:rsidRPr="007A77EF">
        <w:rPr>
          <w:color w:val="auto"/>
          <w:lang w:val="en-GB"/>
        </w:rPr>
        <w:t>)</w:t>
      </w:r>
      <w:r w:rsidR="00300CBD" w:rsidRPr="007A77EF">
        <w:rPr>
          <w:color w:val="auto"/>
          <w:lang w:val="en-GB"/>
        </w:rPr>
        <w:t xml:space="preserve"> </w:t>
      </w:r>
      <w:r w:rsidR="005F7311" w:rsidRPr="007A77EF">
        <w:rPr>
          <w:color w:val="auto"/>
          <w:lang w:val="en-GB"/>
        </w:rPr>
        <w:t>during viewing of visual art associated with positive affect</w:t>
      </w:r>
      <w:r w:rsidR="00300CBD" w:rsidRPr="007A77EF">
        <w:rPr>
          <w:color w:val="auto"/>
          <w:lang w:val="en-GB"/>
        </w:rPr>
        <w:t xml:space="preserve">. </w:t>
      </w:r>
    </w:p>
    <w:p w14:paraId="3B059F4D" w14:textId="6D9F4403" w:rsidR="004F42D8" w:rsidRPr="007A77EF" w:rsidRDefault="00F44936" w:rsidP="00A336B0">
      <w:pPr>
        <w:pStyle w:val="BodyA"/>
        <w:spacing w:line="480" w:lineRule="auto"/>
        <w:rPr>
          <w:color w:val="auto"/>
          <w:lang w:val="en-GB"/>
        </w:rPr>
      </w:pPr>
      <w:r w:rsidRPr="007A77EF">
        <w:rPr>
          <w:color w:val="auto"/>
          <w:lang w:val="en-GB"/>
        </w:rPr>
        <w:lastRenderedPageBreak/>
        <w:tab/>
      </w:r>
      <w:r w:rsidR="00195BEB" w:rsidRPr="007A77EF">
        <w:fldChar w:fldCharType="begin" w:fldLock="1"/>
      </w:r>
      <w:r w:rsidR="000C06E2" w:rsidRPr="007A77EF">
        <w:rPr>
          <w:color w:val="auto"/>
          <w:lang w:val="en-GB"/>
        </w:rPr>
        <w:instrText>ADDIN CSL_CITATION { "citationItems" : [ { "id" : "ITEM-1", "itemData" : { "DOI" : "10.1093/cercor/bhj113", "ISSN" : "1047-3211", "PMID" : "16421331", "abstract" : "We analyzed the behavioral data from 104 neuroimaging studies using positron emission tomography or functional magnetic resonance imaging that reported activation peaks in rostral prefrontal cortex (PFC), approximating Brodmann's area 10. The distribution of absolute x coordinates of activation peaks (i.e., x coordinate regardless of hemisphere) differed significantly from a unimodal normal distribution, reflecting distinct clusters of activation in lateral and medial subregions. These 2 clusters were associated with different patterns of behavioral data. Lateral activations were associated with contrasts between experimental and control conditions where response times (RTs) were slower in the experimental condition. Medial activations were associated with contrasts where RTs were, if anything, faster in experimental than control conditions. These findings place important constraints on theories of rostral PFC functions.", "author" : [ { "dropping-particle" : "", "family" : "Gilbert", "given" : "Sam J", "non-dropping-particle" : "", "parse-names" : false, "suffix" : "" }, { "dropping-particle" : "", "family" : "Spengler", "given" : "Stephanie", "non-dropping-particle" : "", "parse-names" : false, "suffix" : "" }, { "dropping-particle" : "", "family" : "Simons", "given" : "Jon S", "non-dropping-particle" : "", "parse-names" : false, "suffix" : "" }, { "dropping-particle" : "", "family" : "Frith", "given" : "Christopher D", "non-dropping-particle" : "", "parse-names" : false, "suffix" : "" }, { "dropping-particle" : "", "family" : "Burgess", "given" : "Paul W", "non-dropping-particle" : "", "parse-names" : false, "suffix" : "" } ], "container-title" : "Cerebral cortex (New York, N.Y. : 1991)", "id" : "ITEM-1", "issue" : "12", "issued" : { "date-parts" : [ [ "2006", "12" ] ] }, "page" : "1783-9", "title" : "Differential functions of lateral and medial rostral prefrontal cortex (area 10) revealed by brain-behavior associations.", "type" : "article-journal", "volume" : "16" }, "uris" : [ "http://www.mendeley.com/documents/?uuid=d5b914da-b926-46e6-8581-fb64ce0a1d28" ] } ], "mendeley" : { "formattedCitation" : "(Gilbert, Spengler, Simons, Frith, &amp; Burgess, 2006)", "manualFormatting" : "Gilbert, Spengler, Simons, Frith and Burgess (2006)", "plainTextFormattedCitation" : "(Gilbert, Spengler, Simons, Frith, &amp; Burgess, 2006)", "previouslyFormattedCitation" : "(Gilbert, Spengler, Simons, Frith, &amp; Burgess, 2006)" }, "properties" : { "noteIndex" : 0 }, "schema" : "https://github.com/citation-style-language/schema/raw/master/csl-citation.json" }</w:instrText>
      </w:r>
      <w:r w:rsidR="00195BEB" w:rsidRPr="007A77EF">
        <w:fldChar w:fldCharType="separate"/>
      </w:r>
      <w:r w:rsidR="00195BEB" w:rsidRPr="007A77EF">
        <w:rPr>
          <w:noProof/>
          <w:color w:val="auto"/>
          <w:lang w:val="en-GB"/>
        </w:rPr>
        <w:t>Gilbert, Spengler, Simons, Frith and Burgess (200</w:t>
      </w:r>
      <w:r w:rsidR="00B71D2E">
        <w:rPr>
          <w:noProof/>
          <w:color w:val="auto"/>
          <w:lang w:val="en-GB"/>
        </w:rPr>
        <w:t>6</w:t>
      </w:r>
      <w:r w:rsidR="00195BEB" w:rsidRPr="007A77EF">
        <w:rPr>
          <w:noProof/>
          <w:color w:val="auto"/>
          <w:lang w:val="en-GB"/>
        </w:rPr>
        <w:t>)</w:t>
      </w:r>
      <w:r w:rsidR="00195BEB" w:rsidRPr="007A77EF">
        <w:fldChar w:fldCharType="end"/>
      </w:r>
      <w:r w:rsidR="00CB2B4E" w:rsidRPr="007A77EF">
        <w:rPr>
          <w:color w:val="auto"/>
          <w:lang w:val="en-GB"/>
        </w:rPr>
        <w:t xml:space="preserve"> suggested that the medial rPFC is involved in perspective taking whereas lateral areas of the rPFC are implicated in working memory or episodic memory.  A recent meta-analysis revealed a ventral-dorsal gradient for </w:t>
      </w:r>
      <w:r w:rsidR="00DA4739" w:rsidRPr="007A77EF">
        <w:rPr>
          <w:color w:val="auto"/>
          <w:lang w:val="en-GB"/>
        </w:rPr>
        <w:t>activation</w:t>
      </w:r>
      <w:r w:rsidR="00CB2B4E" w:rsidRPr="007A77EF">
        <w:rPr>
          <w:color w:val="auto"/>
          <w:lang w:val="en-GB"/>
        </w:rPr>
        <w:t xml:space="preserve"> in the PFC</w:t>
      </w:r>
      <w:r w:rsidR="00A76847" w:rsidRPr="007A77EF">
        <w:rPr>
          <w:color w:val="auto"/>
          <w:lang w:val="en-GB"/>
        </w:rPr>
        <w:t xml:space="preserve"> </w:t>
      </w:r>
      <w:r w:rsidR="00A76847" w:rsidRPr="007A77EF">
        <w:fldChar w:fldCharType="begin" w:fldLock="1"/>
      </w:r>
      <w:r w:rsidR="000C06E2" w:rsidRPr="007A77EF">
        <w:rPr>
          <w:color w:val="auto"/>
          <w:lang w:val="en-GB"/>
        </w:rPr>
        <w:instrText>ADDIN CSL_CITATION { "citationItems" : [ { "id" : "ITEM-1", "itemData" : { "author" : [ { "dropping-particle" : "", "family" : "Denny", "given" : "B T", "non-dropping-particle" : "", "parse-names" : false, "suffix" : "" }, { "dropping-particle" : "", "family" : "Kober", "given" : "H", "non-dropping-particle" : "", "parse-names" : false, "suffix" : "" }, { "dropping-particle" : "", "family" : "Wager", "given" : "T D", "non-dropping-particle" : "", "parse-names" : false, "suffix" : "" }, { "dropping-particle" : "", "family" : "Ochsner", "given" : "K N", "non-dropping-particle" : "", "parse-names" : false, "suffix" : "" } ], "container-title" : "Journal of Cognitive Neuroscience", "id" : "ITEM-1", "issue" : "8", "issued" : { "date-parts" : [ [ "2012" ] ] }, "page" : "1742-1752", "title" : "A Meta-analysis of Functional Neuroimaging Studies of Self- and Other Judgments Reveals a Spatial Gradient for Mentalizing in Medial Prefrontal Cortex", "type" : "article-journal", "volume" : "24" }, "uris" : [ "http://www.mendeley.com/documents/?uuid=4f63e713-55f9-4dda-9212-edf36b7b3760" ] } ], "mendeley" : { "formattedCitation" : "(Denny, Kober, Wager, &amp; Ochsner, 2012)", "plainTextFormattedCitation" : "(Denny, Kober, Wager, &amp; Ochsner, 2012)", "previouslyFormattedCitation" : "(Denny, Kober, Wager, &amp; Ochsner, 2012)" }, "properties" : { "noteIndex" : 0 }, "schema" : "https://github.com/citation-style-language/schema/raw/master/csl-citation.json" }</w:instrText>
      </w:r>
      <w:r w:rsidR="00A76847" w:rsidRPr="007A77EF">
        <w:fldChar w:fldCharType="separate"/>
      </w:r>
      <w:r w:rsidR="00A76847" w:rsidRPr="007A77EF">
        <w:rPr>
          <w:noProof/>
          <w:color w:val="auto"/>
          <w:lang w:val="en-GB"/>
        </w:rPr>
        <w:t>(Denny, Kober, Wager, &amp; Ochsner, 2012)</w:t>
      </w:r>
      <w:r w:rsidR="00A76847" w:rsidRPr="007A77EF">
        <w:fldChar w:fldCharType="end"/>
      </w:r>
      <w:r w:rsidR="00CB2B4E" w:rsidRPr="007A77EF">
        <w:rPr>
          <w:color w:val="auto"/>
          <w:lang w:val="en-GB"/>
        </w:rPr>
        <w:t xml:space="preserve"> where </w:t>
      </w:r>
      <w:r w:rsidR="00CB2B4E" w:rsidRPr="007A77EF">
        <w:rPr>
          <w:iCs/>
          <w:color w:val="auto"/>
          <w:lang w:val="en-GB"/>
        </w:rPr>
        <w:t>self</w:t>
      </w:r>
      <w:r w:rsidR="00CB2B4E" w:rsidRPr="007A77EF">
        <w:rPr>
          <w:color w:val="auto"/>
          <w:lang w:val="en-GB"/>
        </w:rPr>
        <w:t>-relevant processing was associated with activity in the medial, ventral and rostral PFC</w:t>
      </w:r>
      <w:r w:rsidR="00C43A5F" w:rsidRPr="007A77EF">
        <w:rPr>
          <w:color w:val="auto"/>
          <w:lang w:val="en-GB"/>
        </w:rPr>
        <w:t xml:space="preserve"> (ventral BA10 and BA11)</w:t>
      </w:r>
      <w:r w:rsidR="00CB2B4E" w:rsidRPr="007A77EF">
        <w:rPr>
          <w:color w:val="auto"/>
          <w:lang w:val="en-GB"/>
        </w:rPr>
        <w:t xml:space="preserve">, whereas </w:t>
      </w:r>
      <w:r w:rsidR="00CB2B4E" w:rsidRPr="007A77EF">
        <w:rPr>
          <w:iCs/>
          <w:color w:val="auto"/>
          <w:lang w:val="en-GB"/>
        </w:rPr>
        <w:t>other</w:t>
      </w:r>
      <w:r w:rsidR="00CB2B4E" w:rsidRPr="007A77EF">
        <w:rPr>
          <w:color w:val="auto"/>
          <w:lang w:val="en-GB"/>
        </w:rPr>
        <w:t>-relevant processing activated the dorsal/medial</w:t>
      </w:r>
      <w:r w:rsidR="00C43A5F" w:rsidRPr="007A77EF">
        <w:rPr>
          <w:color w:val="auto"/>
          <w:lang w:val="en-GB"/>
        </w:rPr>
        <w:t xml:space="preserve"> area</w:t>
      </w:r>
      <w:r w:rsidR="00CB2B4E" w:rsidRPr="007A77EF">
        <w:rPr>
          <w:color w:val="auto"/>
          <w:lang w:val="en-GB"/>
        </w:rPr>
        <w:t xml:space="preserve"> </w:t>
      </w:r>
      <w:r w:rsidR="00C43A5F" w:rsidRPr="007A77EF">
        <w:rPr>
          <w:color w:val="auto"/>
          <w:lang w:val="en-GB"/>
        </w:rPr>
        <w:t xml:space="preserve">(dorsal BA10 and BA8/9) </w:t>
      </w:r>
      <w:r w:rsidR="00CB2B4E" w:rsidRPr="007A77EF">
        <w:rPr>
          <w:color w:val="auto"/>
          <w:lang w:val="en-GB"/>
        </w:rPr>
        <w:t xml:space="preserve">of the PFC. </w:t>
      </w:r>
      <w:r w:rsidR="00DA4739" w:rsidRPr="007A77EF">
        <w:rPr>
          <w:color w:val="auto"/>
          <w:lang w:val="en-GB"/>
        </w:rPr>
        <w:t xml:space="preserve">It is important to note that </w:t>
      </w:r>
      <w:r w:rsidR="00CB2B4E" w:rsidRPr="007A77EF">
        <w:rPr>
          <w:color w:val="auto"/>
          <w:lang w:val="en-GB"/>
        </w:rPr>
        <w:t>other studies found large overlaps</w:t>
      </w:r>
      <w:r w:rsidR="00DA4739" w:rsidRPr="007A77EF">
        <w:rPr>
          <w:color w:val="auto"/>
          <w:lang w:val="en-GB"/>
        </w:rPr>
        <w:t xml:space="preserve"> of activation, particularly in </w:t>
      </w:r>
      <w:r w:rsidR="00C43A5F" w:rsidRPr="007A77EF">
        <w:rPr>
          <w:color w:val="auto"/>
          <w:lang w:val="en-GB"/>
        </w:rPr>
        <w:t>BA10</w:t>
      </w:r>
      <w:r w:rsidR="00DA4739" w:rsidRPr="007A77EF">
        <w:rPr>
          <w:color w:val="auto"/>
          <w:lang w:val="en-GB"/>
        </w:rPr>
        <w:t xml:space="preserve"> located centrally between the </w:t>
      </w:r>
      <w:r w:rsidR="00E66D7E" w:rsidRPr="007A77EF">
        <w:rPr>
          <w:color w:val="auto"/>
          <w:lang w:val="en-GB"/>
        </w:rPr>
        <w:t>ventral and dorsal areas,</w:t>
      </w:r>
      <w:r w:rsidR="00DA4739" w:rsidRPr="007A77EF">
        <w:rPr>
          <w:color w:val="auto"/>
          <w:lang w:val="en-GB"/>
        </w:rPr>
        <w:t xml:space="preserve"> for self- and other-relevant processing</w:t>
      </w:r>
      <w:r w:rsidR="00CB2B4E" w:rsidRPr="007A77EF">
        <w:rPr>
          <w:color w:val="auto"/>
          <w:lang w:val="en-GB"/>
        </w:rPr>
        <w:t xml:space="preserve"> </w:t>
      </w:r>
      <w:r w:rsidR="00A76847" w:rsidRPr="007A77EF">
        <w:fldChar w:fldCharType="begin" w:fldLock="1"/>
      </w:r>
      <w:r w:rsidR="000C06E2" w:rsidRPr="007A77EF">
        <w:rPr>
          <w:color w:val="auto"/>
          <w:lang w:val="en-GB"/>
        </w:rPr>
        <w:instrText>ADDIN CSL_CITATION { "citationItems" : [ { "id" : "ITEM-1", "itemData" : { "DOI" : "10.3389/fnhum.2013.00548", "ISSN" : "1662-5161", "PMID" : "24027520", "abstract" : "The autobiographical-self refers to a mental state derived from the retrieval and assembly of memories regarding one's biography. The process of retrieval and assembly, which can focus on biographical facts or personality traits or some combination thereof, is likely to vary according to the domain chosen for an experiment. To date, the investigation of the neural basis of this process has largely focused on the domain of personality traits using paradigms that contrasted the evaluation of one's traits (self-traits) with those of another person's (other-traits). This has led to the suggestion that cortical midline structures (CMSs) are specifically related to self states. Here, with the goal of testing this suggestion, we conducted activation-likelihood estimation (ALE) meta-analyses based on data from 28 neuroimaging studies. The ALE results show that both self-traits and other-traits engage CMSs; however, the engagement of medial prefrontal cortex is greater for self-traits than for other-traits, while the posteromedial cortex is more engaged for other-traits than for self-traits. These findings suggest that the involvement CMSs is not specific to the evaluation of one's own traits, but also occurs during the evaluation of another person's traits.", "author" : [ { "dropping-particle" : "", "family" : "Araujo", "given" : "Helder F", "non-dropping-particle" : "", "parse-names" : false, "suffix" : "" }, { "dropping-particle" : "", "family" : "Kaplan", "given" : "Jonas", "non-dropping-particle" : "", "parse-names" : false, "suffix" : "" }, { "dropping-particle" : "", "family" : "Damasio", "given" : "Antonio", "non-dropping-particle" : "", "parse-names" : false, "suffix" : "" } ], "container-title" : "Frontiers in human neuroscience", "id" : "ITEM-1", "issue" : "September", "issued" : { "date-parts" : [ [ "2013", "1" ] ] }, "page" : "548", "title" : "Cortical Midline Structures and Autobiographical-Self Processes: An Activation-Likelihood Estimation Meta-Analysis.", "type" : "article-journal", "volume" : "7" }, "uris" : [ "http://www.mendeley.com/documents/?uuid=774974a8-c90d-4ad7-bf3f-c50d6de4dba1" ] }, { "id" : "ITEM-2", "itemData" : { "DOI" : "10.1093/scan/nsp001", "ISSN" : "1749-5024", "PMID" : "19270039", "abstract" : "Brain mechanisms underlying explicit evaluation of emotion have been explored using different tasks including 'stimulus-focused evaluation', 'evaluation of one's own emotion' and 'evaluation of others' emotions'. Yet the extent to which similar brain mechanisms underlie different evaluation tasks is unclear. A meta-analysis of published neuroimaging studies of explicit emotional evaluation was conducted to examine common and distinct regions underlying these different evaluation tasks. This study revealed regions common to all three tasks: The amygdala and LPFC as common regions may be involved in emotion-cognition interactions, and the DMPFC may possibly play integrative roles in explicit emotional evaluation. Distinct regions were also identified: (i) the sensory cortex and VLPFC were specifically associated with 'stimulus evaluation', possibly involved in perceptual and conceptual processing; (ii) the insula and rACC were specifically associated with 'evaluation of one's own emotion', potentially associated with interoceptive and experiential processing; and (iii) the STS and TPJ were specifically associated with 'evaluation of others' emotions', potentially reflecting their roles in TOM and empathy. These findings suggest that different types of explicit emotional evaluation may involve common and distinct networks and provide new insights on multiple mechanisms underlying explicit emotional evaluation.", "author" : [ { "dropping-particle" : "", "family" : "Lee", "given" : "Kyung Hwa", "non-dropping-particle" : "", "parse-names" : false, "suffix" : "" }, { "dropping-particle" : "", "family" : "Siegle", "given" : "Greg J", "non-dropping-particle" : "", "parse-names" : false, "suffix" : "" } ], "container-title" : "Social cognitive and affective neuroscience", "id" : "ITEM-2", "issue" : "5", "issued" : { "date-parts" : [ [ "2012", "6" ] ] }, "page" : "521-34", "title" : "Common and distinct brain networks underlying explicit emotional evaluation: a meta-analytic study.", "type" : "article-journal", "volume" : "7" }, "uris" : [ "http://www.mendeley.com/documents/?uuid=f2c3a2a5-3765-44ba-a1e8-fb1ee9567a23" ] }, { "id" : "ITEM-3", "itemData" : { "DOI" : "10.1162/jocn_a_00281", "ISSN" : "1530-8898", "PMID" : "22905821", "abstract" : "Human cognition is increasingly characterized as an emergent property of interactions among distributed, functionally specialized brain networks. We recently demonstrated that the antagonistic \"default\" and \"dorsal attention\" networks--subserving internally and externally directed cognition, respectively--are modulated by a third \"frontoparietal control\" network that flexibly couples with either network depending on task domain. However, little is known about the intrinsic functional architecture underlying this relationship. We used graph theory to analyze network properties of intrinsic functional connectivity within and between these three large-scale networks. Task-based activation from three independent studies were used to identify reliable brain regions (\"nodes\") of each network. We then examined pairwise connections (\"edges\") between nodes, as defined by resting-state functional connectivity MRI. Importantly, we used a novel bootstrap resampling procedure to determine the reliability of graph edges. Furthermore, we examined both full and partial correlations. As predicted, there was a higher degree of integration within each network than between networks. Critically, whereas the default and dorsal attention networks shared little positive connectivity with one another, the frontoparietal control network showed a high degree of between-network interconnectivity with each of these networks. Furthermore, we identified nodes within the frontoparietal control network of three different types--default-aligned, dorsal attention-aligned, and dual-aligned--that we propose play dissociable roles in mediating internetwork communication. The results provide evidence consistent with the idea that the frontoparietal control network plays a pivotal gate-keeping role in goal-directed cognition, mediating the dynamic balance between default and dorsal attention networks.", "author" : [ { "dropping-particle" : "", "family" : "Spreng", "given" : "R Nathan", "non-dropping-particle" : "", "parse-names" : false, "suffix" : "" }, { "dropping-particle" : "", "family" : "Sepulcre", "given" : "Jorge", "non-dropping-particle" : "", "parse-names" : false, "suffix" : "" }, { "dropping-particle" : "", "family" : "Turner", "given" : "Gary R", "non-dropping-particle" : "", "parse-names" : false, "suffix" : "" }, { "dropping-particle" : "", "family" : "Stevens", "given" : "W Dale", "non-dropping-particle" : "", "parse-names" : false, "suffix" : "" }, { "dropping-particle" : "", "family" : "Schacter", "given" : "Daniel L", "non-dropping-particle" : "", "parse-names" : false, "suffix" : "" } ], "container-title" : "Journal of cognitive neuroscience", "id" : "ITEM-3", "issue" : "1", "issued" : { "date-parts" : [ [ "2013", "1" ] ] }, "page" : "74-86", "title" : "Intrinsic architecture underlying the relations among the default, dorsal attention, and frontoparietal control networks of the human brain.", "type" : "article-journal", "volume" : "25" }, "uris" : [ "http://www.mendeley.com/documents/?uuid=aedb42f9-df71-48af-acac-0763409b5c1a" ] } ], "mendeley" : { "formattedCitation" : "(Araujo, Kaplan, &amp; Damasio, 2013; Lee &amp; Siegle, 2012; Spreng et al., 2013)", "plainTextFormattedCitation" : "(Araujo, Kaplan, &amp; Damasio, 2013; Lee &amp; Siegle, 2012; Spreng et al., 2013)", "previouslyFormattedCitation" : "(Araujo, Kaplan, &amp; Damasio, 2013; Lee &amp; Siegle, 2012; Spreng et al., 2013)" }, "properties" : { "noteIndex" : 0 }, "schema" : "https://github.com/citation-style-language/schema/raw/master/csl-citation.json" }</w:instrText>
      </w:r>
      <w:r w:rsidR="00A76847" w:rsidRPr="007A77EF">
        <w:fldChar w:fldCharType="separate"/>
      </w:r>
      <w:r w:rsidR="00A76847" w:rsidRPr="007A77EF">
        <w:rPr>
          <w:noProof/>
          <w:color w:val="auto"/>
          <w:lang w:val="en-GB"/>
        </w:rPr>
        <w:t>(Araujo, Kaplan, &amp; Damasio, 2013; Lee &amp; Siegle, 2012; Spreng et al., 2013)</w:t>
      </w:r>
      <w:r w:rsidR="00A76847" w:rsidRPr="007A77EF">
        <w:fldChar w:fldCharType="end"/>
      </w:r>
      <w:r w:rsidR="00E66D7E" w:rsidRPr="007A77EF">
        <w:rPr>
          <w:color w:val="auto"/>
          <w:lang w:val="en-GB"/>
        </w:rPr>
        <w:t xml:space="preserve">. </w:t>
      </w:r>
      <w:r w:rsidR="00ED7DCD" w:rsidRPr="007A77EF">
        <w:rPr>
          <w:color w:val="auto"/>
          <w:lang w:val="en-GB"/>
        </w:rPr>
        <w:t xml:space="preserve">Activation of the rPFC has also been associated with the processing of information that relates to close others such as family members or close friends </w:t>
      </w:r>
      <w:r w:rsidR="00ED7DCD" w:rsidRPr="007A77EF">
        <w:rPr>
          <w:color w:val="auto"/>
          <w:lang w:val="en-GB"/>
        </w:rPr>
        <w:fldChar w:fldCharType="begin" w:fldLock="1"/>
      </w:r>
      <w:r w:rsidR="001D689F" w:rsidRPr="007A77EF">
        <w:rPr>
          <w:color w:val="auto"/>
          <w:lang w:val="en-GB"/>
        </w:rPr>
        <w:instrText>ADDIN CSL_CITATION { "citationItems" : [ { "id" : "ITEM-1", "itemData" : { "DOI" : "10.1016/j.neuroimage.2009.12.091", "ISSN" : "1095-9572", "PMID" : "20045478", "abstract" : "While neuroimaging studies implicate medial rostral prefrontal cortex (mrPFC) in self-referential processing, simulation accounts of social cognition suggest that this region also supports thinking about other people. This study tested the prediction that mrPFC might be involved in appraising the personality traits of another person to the degree that this person is perceived as similar to oneself. We also examined whether recruiting common processes for thinking about oneself and others might impact on subsequent memory for those judgments. Functional MRI was used while two factors were crossed: (i) the requirement to engage in personality trait or episodic source memory judgments and (ii) the reference for these judgments (i.e., oneself or a friend). The results link haemodynamic changes in mrPFC to both personality judgments about oneself and subsequent episodic memory retrieval of these judgments. The degree to which BOLD signal in this region was also associated with thinking about others correlated with perceived similarity in both tasks, thus corroborating simulation accounts. Moreover, participants who perceived themselves as having similar traits to their friends tended to be poorer at remembering whether they had made trait judgments in reference to themselves or their friend. This behavioral effect was reflected in the BOLD signal in mrPFC: there was a positive correlation between signal change for self versus friend judgments and subsequent memory for the reference of such judgments. The results suggest that investigations of mrPFC activity in the context of self/other judgments should take into account this psychological similarity effect.", "author" : [ { "dropping-particle" : "", "family" : "Benoit", "given" : "Roland G", "non-dropping-particle" : "", "parse-names" : false, "suffix" : "" }, { "dropping-particle" : "", "family" : "Gilbert", "given" : "Sam J", "non-dropping-particle" : "", "parse-names" : false, "suffix" : "" }, { "dropping-particle" : "", "family" : "Volle", "given" : "Emmanuelle", "non-dropping-particle" : "", "parse-names" : false, "suffix" : "" }, { "dropping-particle" : "", "family" : "Burgess", "given" : "Paul W", "non-dropping-particle" : "", "parse-names" : false, "suffix" : "" } ], "container-title" : "NeuroImage", "id" : "ITEM-1", "issue" : "3", "issued" : { "date-parts" : [ [ "2010", "4", "15" ] ] }, "page" : "1340-9", "publisher" : "Elsevier Inc.", "title" : "When I think about me and simulate you: medial rostral prefrontal cortex and self-referential processes.", "type" : "article-journal", "volume" : "50" }, "uris" : [ "http://www.mendeley.com/documents/?uuid=2deea65d-1279-4cdb-a222-3828c876a922" ] } ], "mendeley" : { "formattedCitation" : "(Benoit, Gilbert, Volle, &amp; Burgess, 2010)", "plainTextFormattedCitation" : "(Benoit, Gilbert, Volle, &amp; Burgess, 2010)", "previouslyFormattedCitation" : "(Benoit, Gilbert, Volle, &amp; Burgess, 2010)" }, "properties" : { "noteIndex" : 0 }, "schema" : "https://github.com/citation-style-language/schema/raw/master/csl-citation.json" }</w:instrText>
      </w:r>
      <w:r w:rsidR="00ED7DCD" w:rsidRPr="007A77EF">
        <w:rPr>
          <w:color w:val="auto"/>
          <w:lang w:val="en-GB"/>
        </w:rPr>
        <w:fldChar w:fldCharType="separate"/>
      </w:r>
      <w:r w:rsidR="001D689F" w:rsidRPr="007A77EF">
        <w:rPr>
          <w:noProof/>
          <w:color w:val="auto"/>
          <w:lang w:val="en-GB"/>
        </w:rPr>
        <w:t>(Benoit, Gilbert, Volle, &amp; Burgess, 2010)</w:t>
      </w:r>
      <w:r w:rsidR="00ED7DCD" w:rsidRPr="007A77EF">
        <w:rPr>
          <w:color w:val="auto"/>
          <w:lang w:val="en-GB"/>
        </w:rPr>
        <w:fldChar w:fldCharType="end"/>
      </w:r>
      <w:r w:rsidR="00ED7DCD" w:rsidRPr="007A77EF">
        <w:rPr>
          <w:color w:val="auto"/>
          <w:lang w:val="en-GB"/>
        </w:rPr>
        <w:t xml:space="preserve"> as opposed to strangers </w:t>
      </w:r>
      <w:r w:rsidR="00ED7DCD" w:rsidRPr="007A77EF">
        <w:rPr>
          <w:color w:val="auto"/>
          <w:lang w:val="en-GB"/>
        </w:rPr>
        <w:fldChar w:fldCharType="begin" w:fldLock="1"/>
      </w:r>
      <w:r w:rsidR="00ED7DCD" w:rsidRPr="007A77EF">
        <w:rPr>
          <w:color w:val="auto"/>
          <w:lang w:val="en-GB"/>
        </w:rPr>
        <w:instrText>ADDIN CSL_CITATION { "citationItems" : [ { "id" : "ITEM-1", "itemData" : { "DOI" : "10.1523/JNEUROSCI.2180-10.2010", "ISSN" : "1529-2401", "PMID" : "20943931", "abstract" : "Kinship, friendship alliances, and perceptions of others' beliefs guide social interactions and are central to cohesive group behavior. Under certain conditions, brain systems that involve regions along the frontal midline increase activity when inferences are drawn about others who share a similar view to one's own (similarity). A prominent hypothesis is that these regions contribute to social cognition by simulating the other person's perspective based on one's own experience. An alternative is that certain regions process the social relevance of the person (closeness) to oneself and contribute to the assessment akin to signals that govern behavioral approach responses. These alternatives were explored across four functional magnetic resonance imaging experiments (n = 98). Experiment 1 localized the target midline regions in the rostral anterior cingulate cortex and anterior medial prefrontal cortex by having participants make personal judgments. The two dimensions (similarity, closeness) were crossed in experiment 2 using actual friends of the participant and unknown others. Making judgments about oneself and friends resulted in increased midline response relative to unknown others regardless of whether the friends shared similar views as the participant. Experiment 3 revealed that similarity was not a factor even when close others were not included. Experiment 4 directly contrasted two extremes: participants made inferences about similar, unknown others and dissimilar friends. Judgments about the close others again increased blood oxygenation level-dependent response along the frontal midline. These results encourage further exploration of the idea that frontal systems linked with limbic circuits facilitate assessment of the relevance or personal significance in social contexts.", "author" : [ { "dropping-particle" : "", "family" : "Krienen", "given" : "Fenna M", "non-dropping-particle" : "", "parse-names" : false, "suffix" : "" }, { "dropping-particle" : "", "family" : "Tu", "given" : "Pei-Chi", "non-dropping-particle" : "", "parse-names" : false, "suffix" : "" }, { "dropping-particle" : "", "family" : "Buckner", "given" : "Randy L", "non-dropping-particle" : "", "parse-names" : false, "suffix" : "" } ], "container-title" : "The Journal of neuroscience : the official journal of the Society for Neuroscience", "id" : "ITEM-1", "issue" : "41", "issued" : { "date-parts" : [ [ "2010", "10", "13" ] ] }, "page" : "13906-15", "title" : "Clan mentality: evidence that the medial prefrontal cortex responds to close others.", "type" : "article-journal", "volume" : "30" }, "uris" : [ "http://www.mendeley.com/documents/?uuid=fa82877c-81b6-4afb-af06-9faa13512299" ] } ], "mendeley" : { "formattedCitation" : "(Krienen et al., 2010)", "plainTextFormattedCitation" : "(Krienen et al., 2010)", "previouslyFormattedCitation" : "(Krienen et al., 2010)" }, "properties" : { "noteIndex" : 0 }, "schema" : "https://github.com/citation-style-language/schema/raw/master/csl-citation.json" }</w:instrText>
      </w:r>
      <w:r w:rsidR="00ED7DCD" w:rsidRPr="007A77EF">
        <w:rPr>
          <w:color w:val="auto"/>
          <w:lang w:val="en-GB"/>
        </w:rPr>
        <w:fldChar w:fldCharType="separate"/>
      </w:r>
      <w:r w:rsidR="00ED7DCD" w:rsidRPr="007A77EF">
        <w:rPr>
          <w:noProof/>
          <w:color w:val="auto"/>
          <w:lang w:val="en-GB"/>
        </w:rPr>
        <w:t>(Krienen et al., 2010)</w:t>
      </w:r>
      <w:r w:rsidR="00ED7DCD" w:rsidRPr="007A77EF">
        <w:rPr>
          <w:color w:val="auto"/>
          <w:lang w:val="en-GB"/>
        </w:rPr>
        <w:fldChar w:fldCharType="end"/>
      </w:r>
      <w:r w:rsidR="00ED7DCD" w:rsidRPr="007A77EF">
        <w:rPr>
          <w:color w:val="auto"/>
          <w:lang w:val="en-GB"/>
        </w:rPr>
        <w:t>.  On this basis, Krienen et al. (2010) suggested that the rPFC is part of an area related to the evaluation of social relations, such as identifying which persons are friendly/known</w:t>
      </w:r>
      <w:r w:rsidR="00EA5C27" w:rsidRPr="007A77EF">
        <w:rPr>
          <w:color w:val="auto"/>
          <w:lang w:val="en-GB"/>
        </w:rPr>
        <w:t xml:space="preserve">, thus connecting </w:t>
      </w:r>
      <w:r w:rsidR="00ED7DCD" w:rsidRPr="007A77EF">
        <w:rPr>
          <w:color w:val="auto"/>
          <w:lang w:val="en-GB"/>
        </w:rPr>
        <w:t xml:space="preserve">activation of the rPFC </w:t>
      </w:r>
      <w:r w:rsidR="00EA5C27" w:rsidRPr="007A77EF">
        <w:rPr>
          <w:color w:val="auto"/>
          <w:lang w:val="en-GB"/>
        </w:rPr>
        <w:t>with</w:t>
      </w:r>
      <w:r w:rsidR="00ED7DCD" w:rsidRPr="007A77EF">
        <w:rPr>
          <w:color w:val="auto"/>
          <w:lang w:val="en-GB"/>
        </w:rPr>
        <w:t xml:space="preserve"> ToM.</w:t>
      </w:r>
    </w:p>
    <w:p w14:paraId="2F44D9B8" w14:textId="732A2841" w:rsidR="00E66D7E" w:rsidRPr="007A77EF" w:rsidRDefault="00CB2B4E" w:rsidP="00B93EE2">
      <w:pPr>
        <w:pStyle w:val="BodyA"/>
        <w:spacing w:line="480" w:lineRule="auto"/>
        <w:rPr>
          <w:color w:val="auto"/>
          <w:lang w:val="en-GB"/>
        </w:rPr>
      </w:pPr>
      <w:r w:rsidRPr="007A77EF">
        <w:rPr>
          <w:color w:val="auto"/>
          <w:lang w:val="en-GB"/>
        </w:rPr>
        <w:tab/>
        <w:t xml:space="preserve">It </w:t>
      </w:r>
      <w:r w:rsidR="005F7311" w:rsidRPr="007A77EF">
        <w:rPr>
          <w:color w:val="auto"/>
          <w:lang w:val="en-GB"/>
        </w:rPr>
        <w:t>is</w:t>
      </w:r>
      <w:r w:rsidRPr="007A77EF">
        <w:rPr>
          <w:color w:val="auto"/>
          <w:lang w:val="en-GB"/>
        </w:rPr>
        <w:t xml:space="preserve"> hypothesised that the rPFC plays an important role in the processing of </w:t>
      </w:r>
      <w:r w:rsidRPr="007A77EF">
        <w:rPr>
          <w:iCs/>
          <w:color w:val="auto"/>
          <w:lang w:val="en-GB"/>
        </w:rPr>
        <w:t>self</w:t>
      </w:r>
      <w:r w:rsidRPr="007A77EF">
        <w:rPr>
          <w:color w:val="auto"/>
          <w:lang w:val="en-GB"/>
        </w:rPr>
        <w:t xml:space="preserve">-relevant information and understanding of mental states of others. A successful assessment and interpretation of emotional states </w:t>
      </w:r>
      <w:r w:rsidR="00DB0265" w:rsidRPr="007A77EF">
        <w:rPr>
          <w:color w:val="auto"/>
          <w:lang w:val="en-GB"/>
        </w:rPr>
        <w:t xml:space="preserve">includes </w:t>
      </w:r>
      <w:r w:rsidRPr="007A77EF">
        <w:rPr>
          <w:color w:val="auto"/>
          <w:lang w:val="en-GB"/>
        </w:rPr>
        <w:t>a significant component of</w:t>
      </w:r>
      <w:r w:rsidR="005F7311" w:rsidRPr="007A77EF">
        <w:rPr>
          <w:color w:val="auto"/>
          <w:lang w:val="en-GB"/>
        </w:rPr>
        <w:t xml:space="preserve"> </w:t>
      </w:r>
      <w:r w:rsidRPr="007A77EF">
        <w:rPr>
          <w:color w:val="auto"/>
          <w:lang w:val="en-GB"/>
        </w:rPr>
        <w:t>processes</w:t>
      </w:r>
      <w:r w:rsidR="00A76847" w:rsidRPr="007A77EF">
        <w:rPr>
          <w:color w:val="auto"/>
          <w:lang w:val="en-GB"/>
        </w:rPr>
        <w:t xml:space="preserve"> </w:t>
      </w:r>
      <w:r w:rsidR="005F7311" w:rsidRPr="007A77EF">
        <w:rPr>
          <w:color w:val="auto"/>
          <w:lang w:val="en-GB"/>
        </w:rPr>
        <w:t xml:space="preserve">related to self and other </w:t>
      </w:r>
      <w:r w:rsidR="00A76847" w:rsidRPr="007A77EF">
        <w:rPr>
          <w:color w:val="auto"/>
        </w:rPr>
        <w:fldChar w:fldCharType="begin" w:fldLock="1"/>
      </w:r>
      <w:r w:rsidR="000C06E2" w:rsidRPr="007A77EF">
        <w:rPr>
          <w:color w:val="auto"/>
          <w:lang w:val="en-GB"/>
        </w:rPr>
        <w:instrText>ADDIN CSL_CITATION { "citationItems" : [ { "id" : "ITEM-1", "itemData" : { "DOI" : "10.1523/JNEUROSCI.6434-09.2010", "author" : [ { "dropping-particle" : "", "family" : "Amting", "given" : "JM", "non-dropping-particle" : "", "parse-names" : false, "suffix" : "" } ], "container-title" : "The Journal of Neuroscience", "id" : "ITEM-1", "issue" : "30", "issued" : { "date-parts" : [ [ "2010" ] ] }, "page" : "10039-10047", "title" : "Multiple Mechanisms of Consciousness: The Neural Correlates of Emotional Awareness", "type" : "article-journal", "volume" : "30" }, "uris" : [ "http://www.mendeley.com/documents/?uuid=262645de-3f61-4f8b-ba94-615c555d10d8" ] } ], "mendeley" : { "formattedCitation" : "(Amting, 2010)", "plainTextFormattedCitation" : "(Amting, 2010)", "previouslyFormattedCitation" : "(Amting, 2010)" }, "properties" : { "noteIndex" : 0 }, "schema" : "https://github.com/citation-style-language/schema/raw/master/csl-citation.json" }</w:instrText>
      </w:r>
      <w:r w:rsidR="00A76847" w:rsidRPr="007A77EF">
        <w:rPr>
          <w:color w:val="auto"/>
        </w:rPr>
        <w:fldChar w:fldCharType="separate"/>
      </w:r>
      <w:r w:rsidR="00A76847" w:rsidRPr="007A77EF">
        <w:rPr>
          <w:noProof/>
          <w:color w:val="auto"/>
          <w:lang w:val="en-GB"/>
        </w:rPr>
        <w:t>(Amting, 2010)</w:t>
      </w:r>
      <w:r w:rsidR="00A76847" w:rsidRPr="007A77EF">
        <w:rPr>
          <w:color w:val="auto"/>
        </w:rPr>
        <w:fldChar w:fldCharType="end"/>
      </w:r>
      <w:r w:rsidRPr="007A77EF">
        <w:rPr>
          <w:color w:val="auto"/>
          <w:lang w:val="en-GB"/>
        </w:rPr>
        <w:t xml:space="preserve">. Afferent connections between medial rPFC and the amygdala support the sensitivity of </w:t>
      </w:r>
      <w:r w:rsidR="00DB0265" w:rsidRPr="007A77EF">
        <w:rPr>
          <w:color w:val="auto"/>
          <w:lang w:val="en-GB"/>
        </w:rPr>
        <w:t>the former</w:t>
      </w:r>
      <w:r w:rsidRPr="007A77EF">
        <w:rPr>
          <w:color w:val="auto"/>
          <w:lang w:val="en-GB"/>
        </w:rPr>
        <w:t xml:space="preserve"> </w:t>
      </w:r>
      <w:r w:rsidR="00DB0265" w:rsidRPr="007A77EF">
        <w:rPr>
          <w:color w:val="auto"/>
          <w:lang w:val="en-GB"/>
        </w:rPr>
        <w:t xml:space="preserve">emotional processing </w:t>
      </w:r>
      <w:r w:rsidR="00A76847" w:rsidRPr="007A77EF">
        <w:rPr>
          <w:color w:val="auto"/>
        </w:rPr>
        <w:fldChar w:fldCharType="begin" w:fldLock="1"/>
      </w:r>
      <w:r w:rsidR="000C06E2" w:rsidRPr="007A77EF">
        <w:rPr>
          <w:color w:val="auto"/>
          <w:lang w:val="en-GB"/>
        </w:rPr>
        <w:instrText>ADDIN CSL_CITATION { "citationItems" : [ { "id" : "ITEM-1", "itemData" : { "DOI" : "10.1016/j.bbr.2010.10.030", "ISSN" : "1872-7549", "PMID" : "21055420", "abstract" : "Emotional information, such as reward or punishment, gains rapid and often preferential access to neurocognitive resources. This ability to quickly evaluate and integrate emotion-related information is thought to benefit a range of behaviours critical for survival. Conversely, the improper use of, or preoccupation with, emotional information is associated with disruptions in functioning and psychiatric disorders. Optimally, an organism utilizes emotional information when it is significant, and minimizes its influence when it is not. Recently, similar regions of prefrontal cortex have been identified that are associated with regulating both behavioural conflict (motor response selection or inhibition) and affective conflict (emotional representation and awareness). In this review, data will be examined that concerns this convergence between decision making (modulating what we do) and emotion regulation (modulating how we feel) and an informal model will be proposed linking these processes at a neurocognitive level. The studies reviewed collectively support the conclusion that overlapping areas of prefrontal cortex perform similar computations whether the functional objective is to modulate an operant response, or an emotional one. Specifically, the idea is raised that key aspects of decision making and emotion regulation are bound by a common functional objective in which internal representations of conditioned stimuli and reinforcers are modulated to facilitate optimal behaviour or states. Emphasis is placed on dorsomedial, dorsolateral, ventrolateral, and ventromedial regions of prefrontal cortex.", "author" : [ { "dropping-particle" : "V", "family" : "Mitchell", "given" : "Derek G", "non-dropping-particle" : "", "parse-names" : false, "suffix" : "" } ], "container-title" : "Behavioural brain research", "id" : "ITEM-1", "issue" : "1", "issued" : { "date-parts" : [ [ "2011", "2", "2" ] ] }, "page" : "215-31", "publisher" : "Elsevier B.V.", "title" : "The nexus between decision making and emotion regulation: a review of convergent neurocognitive substrates.", "type" : "article-journal", "volume" : "217" }, "uris" : [ "http://www.mendeley.com/documents/?uuid=0d530d24-20ba-47b0-8821-1f7444bb1ead" ] } ], "mendeley" : { "formattedCitation" : "(Mitchell, 2011)", "plainTextFormattedCitation" : "(Mitchell, 2011)", "previouslyFormattedCitation" : "(Mitchell, 2011)" }, "properties" : { "noteIndex" : 0 }, "schema" : "https://github.com/citation-style-language/schema/raw/master/csl-citation.json" }</w:instrText>
      </w:r>
      <w:r w:rsidR="00A76847" w:rsidRPr="007A77EF">
        <w:rPr>
          <w:color w:val="auto"/>
        </w:rPr>
        <w:fldChar w:fldCharType="separate"/>
      </w:r>
      <w:r w:rsidR="00A76847" w:rsidRPr="007A77EF">
        <w:rPr>
          <w:noProof/>
          <w:color w:val="auto"/>
          <w:lang w:val="en-GB"/>
        </w:rPr>
        <w:t>(Mitchell, 2011)</w:t>
      </w:r>
      <w:r w:rsidR="00A76847" w:rsidRPr="007A77EF">
        <w:rPr>
          <w:color w:val="auto"/>
        </w:rPr>
        <w:fldChar w:fldCharType="end"/>
      </w:r>
      <w:r w:rsidRPr="007A77EF">
        <w:rPr>
          <w:color w:val="auto"/>
          <w:lang w:val="en-GB"/>
        </w:rPr>
        <w:t xml:space="preserve">. For example, activation in the medial rPFC has been reported during modulation of positive and negative emotions (Mitchell, 2011), </w:t>
      </w:r>
      <w:r w:rsidR="007F7AC9" w:rsidRPr="007A77EF">
        <w:rPr>
          <w:color w:val="auto"/>
          <w:lang w:val="en-GB"/>
        </w:rPr>
        <w:t>regulation</w:t>
      </w:r>
      <w:r w:rsidRPr="007A77EF">
        <w:rPr>
          <w:color w:val="auto"/>
          <w:lang w:val="en-GB"/>
        </w:rPr>
        <w:t xml:space="preserve"> of negative emotions</w:t>
      </w:r>
      <w:r w:rsidR="00A76847" w:rsidRPr="007A77EF">
        <w:rPr>
          <w:color w:val="auto"/>
          <w:lang w:val="en-GB"/>
        </w:rPr>
        <w:t xml:space="preserve"> </w:t>
      </w:r>
      <w:r w:rsidR="00A76847" w:rsidRPr="007A77EF">
        <w:rPr>
          <w:color w:val="auto"/>
        </w:rPr>
        <w:fldChar w:fldCharType="begin" w:fldLock="1"/>
      </w:r>
      <w:r w:rsidR="000C06E2" w:rsidRPr="007A77EF">
        <w:rPr>
          <w:color w:val="auto"/>
          <w:lang w:val="en-GB"/>
        </w:rPr>
        <w:instrText>ADDIN CSL_CITATION { "citationItems" : [ { "id" : "ITEM-1", "itemData" : { "DOI" : "10.1016/j.neulet.2009.10.005", "ISSN" : "1872-7972", "PMID" : "19818382", "abstract" : "The activation of dorsolateral prefrontal cortex (dlPFC) has been suggested to reflect the engagement of a control mechanism for top-down biasing of context processing in resource-demanding memory tasks. Here we tested the hypothesis that the dlPFC subserves a similar function also in attention and emotion tasks. 18 healthy young adults were tested in a functional magnetic resonance imaging (fMRI) study where the demands for context processing were manipulated in three different cognitive domains: auditory attention, episodic retrieval, and emotion regulation. We found that the right dlPFC was jointly sensitive to increased cognitive demands in the attention and memory tasks. By contrast, increased demands in the emotion task (reappraisal) were associated with increased activity in ventromedial PFC along with decreased amygdala activity. Our findings of divergent prefrontal control networks for cognitive and emotional control extend previous separations of cognition and emotion in the anterior cingulate cortex.", "author" : [ { "dropping-particle" : "", "family" : "Kompus", "given" : "Kristiina", "non-dropping-particle" : "", "parse-names" : false, "suffix" : "" }, { "dropping-particle" : "", "family" : "Hugdahl", "given" : "Kenneth", "non-dropping-particle" : "", "parse-names" : false, "suffix" : "" }, { "dropping-particle" : "", "family" : "Ohman", "given" : "Arne", "non-dropping-particle" : "", "parse-names" : false, "suffix" : "" }, { "dropping-particle" : "", "family" : "Marklund", "given" : "Petter", "non-dropping-particle" : "", "parse-names" : false, "suffix" : "" }, { "dropping-particle" : "", "family" : "Nyberg", "given" : "Lars", "non-dropping-particle" : "", "parse-names" : false, "suffix" : "" } ], "container-title" : "Neuroscience letters", "id" : "ITEM-1", "issue" : "2", "issued" : { "date-parts" : [ [ "2009", "12", "25" ] ] }, "page" : "76-80", "title" : "Distinct control networks for cognition and emotion in the prefrontal cortex.", "type" : "article-journal", "volume" : "467" }, "uris" : [ "http://www.mendeley.com/documents/?uuid=23bd7aa7-80e0-4a39-8763-e1e132c52018" ] } ], "mendeley" : { "formattedCitation" : "(Kompus, Hugdahl, Ohman, Marklund, &amp; Nyberg, 2009)", "plainTextFormattedCitation" : "(Kompus, Hugdahl, Ohman, Marklund, &amp; Nyberg, 2009)", "previouslyFormattedCitation" : "(Kompus, Hugdahl, Ohman, Marklund, &amp; Nyberg, 2009)" }, "properties" : { "noteIndex" : 0 }, "schema" : "https://github.com/citation-style-language/schema/raw/master/csl-citation.json" }</w:instrText>
      </w:r>
      <w:r w:rsidR="00A76847" w:rsidRPr="007A77EF">
        <w:rPr>
          <w:color w:val="auto"/>
        </w:rPr>
        <w:fldChar w:fldCharType="separate"/>
      </w:r>
      <w:r w:rsidR="00A76847" w:rsidRPr="007A77EF">
        <w:rPr>
          <w:noProof/>
          <w:color w:val="auto"/>
          <w:lang w:val="en-GB"/>
        </w:rPr>
        <w:t>(Kompus, Hugdahl, Ohman, Marklund, &amp; Nyberg, 2009)</w:t>
      </w:r>
      <w:r w:rsidR="00A76847" w:rsidRPr="007A77EF">
        <w:rPr>
          <w:color w:val="auto"/>
        </w:rPr>
        <w:fldChar w:fldCharType="end"/>
      </w:r>
      <w:r w:rsidR="00A76847" w:rsidRPr="007A77EF">
        <w:rPr>
          <w:color w:val="auto"/>
          <w:lang w:val="en-GB"/>
        </w:rPr>
        <w:t xml:space="preserve"> </w:t>
      </w:r>
      <w:r w:rsidRPr="007A77EF">
        <w:rPr>
          <w:color w:val="auto"/>
          <w:lang w:val="en-GB"/>
        </w:rPr>
        <w:t>and the experience of positive emotions</w:t>
      </w:r>
      <w:r w:rsidR="00A76847" w:rsidRPr="007A77EF">
        <w:rPr>
          <w:color w:val="auto"/>
          <w:lang w:val="en-GB"/>
        </w:rPr>
        <w:t xml:space="preserve"> </w:t>
      </w:r>
      <w:r w:rsidR="00A76847" w:rsidRPr="007A77EF">
        <w:rPr>
          <w:color w:val="auto"/>
        </w:rPr>
        <w:fldChar w:fldCharType="begin" w:fldLock="1"/>
      </w:r>
      <w:r w:rsidR="009D21CC" w:rsidRPr="007A77EF">
        <w:rPr>
          <w:color w:val="auto"/>
          <w:lang w:val="en-GB"/>
        </w:rPr>
        <w:instrText>ADDIN CSL_CITATION { "citationItems" : [ { "id" : "ITEM-1", "itemData" : { "DOI" : "10.1016/j.neuroimage.2004.05.015", "ISSN" : "1053-8119", "PMID" : "15325353", "abstract" : "Prefrontal cortex (PFC) activity associated with emotional evaluation and subsequent memory was investigated with event-related functional MRI (fMRI). Participants were scanned while rating the pleasantness of emotionally positive, negative, and neutral pictures, and memory for the pictures was tested after scanning. Emotional evaluation was measured by comparing activity during the picture rating task relative to baseline, and successful encoding was measured by comparing activity for subsequently remembered versus forgotten pictures (Dm effect). The effect of arousal on these measures was indicated by greater activity for both positive and negative pictures than for neutral ones, and the effect of valence was indicated by differences in activity between positive and negative pictures. The study yielded three main results. First, consistent with the valence hypothesis, specific regions in left dorsolateral PFC were more activated for positive than for negative picture evaluation, whereas regions in right ventrolateral PFC showed the converse pattern. Second, dorsomedial PFC activity was sensitive to emotional arousal, whereas ventromedial PFC activity was sensitive to positive valence, consistent with evidence linking these regions, respectively, to emotional processing and self-awareness or appetitive behavior. Finally, successful encoding (Dm) activity in left ventrolateral and dorsolateral PFC was greater for arousing than for neutral pictures. This finding suggests that the enhancing effect of emotion on memory formation is partly due to an augmentation of PFC-mediated strategic, semantic, and working memory operations. These results underscore the critical role of PFC in emotional evaluation and memory, and disentangle the effects of arousal and valence across PFC regions associated with different cognitive functions.", "author" : [ { "dropping-particle" : "", "family" : "Dolcos", "given" : "Florin", "non-dropping-particle" : "", "parse-names" : false, "suffix" : "" }, { "dropping-particle" : "", "family" : "LaBar", "given" : "Kevin S", "non-dropping-particle" : "", "parse-names" : false, "suffix" : "" }, { "dropping-particle" : "", "family" : "Cabeza", "given" : "Roberto", "non-dropping-particle" : "", "parse-names" : false, "suffix" : "" } ], "container-title" : "NeuroImage", "id" : "ITEM-1", "issue" : "1", "issued" : { "date-parts" : [ [ "2004", "9" ] ] }, "page" : "64-74", "title" : "Dissociable effects of arousal and valence on prefrontal activity indexing emotional evaluation and subsequent memory: an event-related fMRI study.", "type" : "article-journal", "volume" : "23" }, "uris" : [ "http://www.mendeley.com/documents/?uuid=914311be-19ea-470e-929b-e1c2db15e220" ] }, { "id" : "ITEM-2", "itemData" : { "DOI" : "10.1371/journal.pone.0015454", "author" : [ { "dropping-particle" : "", "family" : "Viviani", "given" : "Roberto", "non-dropping-particle" : "", "parse-names" : false, "suffix" : "" }, { "dropping-particle" : "", "family" : "Lo", "given" : "Hanna", "non-dropping-particle" : "", "parse-names" : false, "suffix" : "" }, { "dropping-particle" : "", "family" : "Sim", "given" : "EJ", "non-dropping-particle" : "", "parse-names" : false, "suffix" : "" }, { "dropping-particle" : "", "family" : "Beschoner", "given" : "Petra", "non-dropping-particle" : "", "parse-names" : false, "suffix" : "" } ], "container-title" : "PLoS One", "id" : "ITEM-2", "issue" : "11", "issued" : { "date-parts" : [ [ "2010" ] ] }, "page" : "1-9", "title" : "The neural substrate of positive bias in spontaneous emotional processing", "type" : "article-journal", "volume" : "5" }, "uris" : [ "http://www.mendeley.com/documents/?uuid=53d99cd7-ca9a-4dab-b243-ffb7fa8784db" ] } ], "mendeley" : { "formattedCitation" : "(Dolcos et al., 2004; Viviani, Lo, Sim, &amp; Beschoner, 2010)", "plainTextFormattedCitation" : "(Dolcos et al., 2004; Viviani, Lo, Sim, &amp; Beschoner, 2010)", "previouslyFormattedCitation" : "(Dolcos et al., 2004; Viviani, Lo, Sim, &amp; Beschoner, 2010)" }, "properties" : { "noteIndex" : 0 }, "schema" : "https://github.com/citation-style-language/schema/raw/master/csl-citation.json" }</w:instrText>
      </w:r>
      <w:r w:rsidR="00A76847" w:rsidRPr="007A77EF">
        <w:rPr>
          <w:color w:val="auto"/>
        </w:rPr>
        <w:fldChar w:fldCharType="separate"/>
      </w:r>
      <w:r w:rsidR="009D21CC" w:rsidRPr="007A77EF">
        <w:rPr>
          <w:noProof/>
          <w:color w:val="auto"/>
          <w:lang w:val="en-GB"/>
        </w:rPr>
        <w:t>(Dolcos et al., 2004; Viviani, Lo, Sim, &amp; Beschoner, 2010)</w:t>
      </w:r>
      <w:r w:rsidR="00A76847" w:rsidRPr="007A77EF">
        <w:rPr>
          <w:color w:val="auto"/>
        </w:rPr>
        <w:fldChar w:fldCharType="end"/>
      </w:r>
      <w:r w:rsidRPr="007A77EF">
        <w:rPr>
          <w:color w:val="auto"/>
          <w:lang w:val="en-GB"/>
        </w:rPr>
        <w:t>.</w:t>
      </w:r>
    </w:p>
    <w:p w14:paraId="513E66F4" w14:textId="201F55A8" w:rsidR="00F44936" w:rsidRPr="007A77EF" w:rsidRDefault="00CB2B4E" w:rsidP="00CB6343">
      <w:pPr>
        <w:pStyle w:val="BodyA"/>
        <w:spacing w:line="480" w:lineRule="auto"/>
        <w:rPr>
          <w:color w:val="auto"/>
        </w:rPr>
      </w:pPr>
      <w:r w:rsidRPr="007A77EF">
        <w:rPr>
          <w:color w:val="auto"/>
          <w:lang w:val="en-GB"/>
        </w:rPr>
        <w:lastRenderedPageBreak/>
        <w:tab/>
        <w:t xml:space="preserve">The purpose of the current study is to explore activation of the rPFC in response to </w:t>
      </w:r>
      <w:r w:rsidR="00DB0265" w:rsidRPr="007A77EF">
        <w:rPr>
          <w:color w:val="auto"/>
          <w:lang w:val="en-GB"/>
        </w:rPr>
        <w:t xml:space="preserve">positive/negative </w:t>
      </w:r>
      <w:r w:rsidRPr="007A77EF">
        <w:rPr>
          <w:color w:val="auto"/>
          <w:lang w:val="en-GB"/>
        </w:rPr>
        <w:t xml:space="preserve">valence and </w:t>
      </w:r>
      <w:r w:rsidRPr="007A77EF">
        <w:rPr>
          <w:iCs/>
          <w:color w:val="auto"/>
          <w:lang w:val="en-GB"/>
        </w:rPr>
        <w:t>self</w:t>
      </w:r>
      <w:r w:rsidR="00DB0265" w:rsidRPr="007A77EF">
        <w:rPr>
          <w:color w:val="auto"/>
          <w:lang w:val="en-GB"/>
        </w:rPr>
        <w:t>/other</w:t>
      </w:r>
      <w:r w:rsidRPr="007A77EF">
        <w:rPr>
          <w:color w:val="auto"/>
          <w:lang w:val="en-GB"/>
        </w:rPr>
        <w:t xml:space="preserve"> processing during </w:t>
      </w:r>
      <w:r w:rsidR="00DB0265" w:rsidRPr="007A77EF">
        <w:rPr>
          <w:color w:val="auto"/>
          <w:lang w:val="en-GB"/>
        </w:rPr>
        <w:t>the viewing of visual works of art</w:t>
      </w:r>
      <w:r w:rsidRPr="007A77EF">
        <w:rPr>
          <w:color w:val="auto"/>
          <w:lang w:val="en-GB"/>
        </w:rPr>
        <w:t>. Activation of the rPFC has been demonstrated during the processing of visual art (Vessel et al</w:t>
      </w:r>
      <w:r w:rsidR="00A76847" w:rsidRPr="007A77EF">
        <w:rPr>
          <w:color w:val="auto"/>
          <w:lang w:val="en-GB"/>
        </w:rPr>
        <w:t>.</w:t>
      </w:r>
      <w:r w:rsidR="00535389" w:rsidRPr="007A77EF">
        <w:rPr>
          <w:color w:val="auto"/>
          <w:lang w:val="en-GB"/>
        </w:rPr>
        <w:t>, 2012</w:t>
      </w:r>
      <w:r w:rsidRPr="007A77EF">
        <w:rPr>
          <w:color w:val="auto"/>
          <w:lang w:val="en-GB"/>
        </w:rPr>
        <w:t>)</w:t>
      </w:r>
      <w:r w:rsidR="00DB0265" w:rsidRPr="007A77EF">
        <w:rPr>
          <w:color w:val="auto"/>
          <w:lang w:val="en-GB"/>
        </w:rPr>
        <w:t xml:space="preserve"> but </w:t>
      </w:r>
      <w:r w:rsidRPr="007A77EF">
        <w:rPr>
          <w:color w:val="auto"/>
          <w:lang w:val="en-GB"/>
        </w:rPr>
        <w:t xml:space="preserve">it was unclear whether sensitivity of the region was due to sensitivity to emotional regulation or </w:t>
      </w:r>
      <w:r w:rsidRPr="007A77EF">
        <w:rPr>
          <w:iCs/>
          <w:color w:val="auto"/>
          <w:lang w:val="en-GB"/>
        </w:rPr>
        <w:t>self</w:t>
      </w:r>
      <w:r w:rsidRPr="007A77EF">
        <w:rPr>
          <w:color w:val="auto"/>
          <w:lang w:val="en-GB"/>
        </w:rPr>
        <w:t>-relevant processing</w:t>
      </w:r>
      <w:r w:rsidR="00DB0265" w:rsidRPr="007A77EF">
        <w:rPr>
          <w:color w:val="auto"/>
          <w:lang w:val="en-GB"/>
        </w:rPr>
        <w:t xml:space="preserve"> related to ToM</w:t>
      </w:r>
      <w:r w:rsidRPr="007A77EF">
        <w:rPr>
          <w:color w:val="auto"/>
          <w:lang w:val="en-GB"/>
        </w:rPr>
        <w:t xml:space="preserve">.  The current study measured activation of the rPFC </w:t>
      </w:r>
      <w:r w:rsidR="00A459FA" w:rsidRPr="007A77EF">
        <w:rPr>
          <w:color w:val="auto"/>
          <w:lang w:val="en-GB"/>
        </w:rPr>
        <w:t>using</w:t>
      </w:r>
      <w:r w:rsidR="00956E1B" w:rsidRPr="007A77EF">
        <w:rPr>
          <w:color w:val="auto"/>
          <w:lang w:val="en-GB"/>
        </w:rPr>
        <w:t xml:space="preserve"> </w:t>
      </w:r>
      <w:r w:rsidR="009B3297" w:rsidRPr="007A77EF">
        <w:rPr>
          <w:color w:val="auto"/>
          <w:lang w:val="en-GB"/>
        </w:rPr>
        <w:t>f</w:t>
      </w:r>
      <w:r w:rsidR="00DB0265" w:rsidRPr="007A77EF">
        <w:rPr>
          <w:color w:val="auto"/>
          <w:lang w:val="en-GB"/>
        </w:rPr>
        <w:t xml:space="preserve">unction </w:t>
      </w:r>
      <w:r w:rsidR="009B3297" w:rsidRPr="007A77EF">
        <w:rPr>
          <w:color w:val="auto"/>
          <w:lang w:val="en-GB"/>
        </w:rPr>
        <w:t>n</w:t>
      </w:r>
      <w:r w:rsidR="00DB0265" w:rsidRPr="007A77EF">
        <w:rPr>
          <w:color w:val="auto"/>
          <w:lang w:val="en-GB"/>
        </w:rPr>
        <w:t>ear-</w:t>
      </w:r>
      <w:r w:rsidR="009B3297" w:rsidRPr="007A77EF">
        <w:rPr>
          <w:color w:val="auto"/>
          <w:lang w:val="en-GB"/>
        </w:rPr>
        <w:t>i</w:t>
      </w:r>
      <w:r w:rsidR="00DB0265" w:rsidRPr="007A77EF">
        <w:rPr>
          <w:color w:val="auto"/>
          <w:lang w:val="en-GB"/>
        </w:rPr>
        <w:t>nf</w:t>
      </w:r>
      <w:r w:rsidR="00320D49" w:rsidRPr="007A77EF">
        <w:rPr>
          <w:color w:val="auto"/>
          <w:lang w:val="en-GB"/>
        </w:rPr>
        <w:t>r</w:t>
      </w:r>
      <w:r w:rsidR="00DB0265" w:rsidRPr="007A77EF">
        <w:rPr>
          <w:color w:val="auto"/>
          <w:lang w:val="en-GB"/>
        </w:rPr>
        <w:t xml:space="preserve">ared </w:t>
      </w:r>
      <w:r w:rsidR="009B3297" w:rsidRPr="007A77EF">
        <w:rPr>
          <w:color w:val="auto"/>
          <w:lang w:val="en-GB"/>
        </w:rPr>
        <w:t>s</w:t>
      </w:r>
      <w:r w:rsidR="00DB0265" w:rsidRPr="007A77EF">
        <w:rPr>
          <w:color w:val="auto"/>
          <w:lang w:val="en-GB"/>
        </w:rPr>
        <w:t>pectroscopy</w:t>
      </w:r>
      <w:r w:rsidR="00B12F62" w:rsidRPr="007A77EF">
        <w:rPr>
          <w:color w:val="auto"/>
          <w:lang w:val="en-GB"/>
        </w:rPr>
        <w:t xml:space="preserve"> (</w:t>
      </w:r>
      <w:r w:rsidR="00D42BF3" w:rsidRPr="007A77EF">
        <w:rPr>
          <w:color w:val="auto"/>
          <w:lang w:val="en-GB"/>
        </w:rPr>
        <w:t>fNIRS</w:t>
      </w:r>
      <w:r w:rsidR="00DB0265" w:rsidRPr="007A77EF">
        <w:rPr>
          <w:color w:val="auto"/>
          <w:lang w:val="en-GB"/>
        </w:rPr>
        <w:t>)</w:t>
      </w:r>
      <w:r w:rsidR="00B85A2B" w:rsidRPr="007A77EF">
        <w:rPr>
          <w:color w:val="auto"/>
          <w:lang w:val="en-GB"/>
        </w:rPr>
        <w:t>.</w:t>
      </w:r>
      <w:r w:rsidRPr="007A77EF">
        <w:rPr>
          <w:color w:val="auto"/>
          <w:lang w:val="en-GB"/>
        </w:rPr>
        <w:t xml:space="preserve"> </w:t>
      </w:r>
      <w:r w:rsidR="00B85A2B" w:rsidRPr="007A77EF">
        <w:rPr>
          <w:color w:val="auto"/>
          <w:lang w:val="en-GB"/>
        </w:rPr>
        <w:t>P</w:t>
      </w:r>
      <w:r w:rsidRPr="007A77EF">
        <w:rPr>
          <w:color w:val="auto"/>
          <w:lang w:val="en-GB"/>
        </w:rPr>
        <w:t xml:space="preserve">articipants were required to view artworks </w:t>
      </w:r>
      <w:r w:rsidR="00DB0265" w:rsidRPr="007A77EF">
        <w:rPr>
          <w:color w:val="auto"/>
          <w:lang w:val="en-GB"/>
        </w:rPr>
        <w:t>pre-</w:t>
      </w:r>
      <w:r w:rsidRPr="007A77EF">
        <w:rPr>
          <w:color w:val="auto"/>
          <w:lang w:val="en-GB"/>
        </w:rPr>
        <w:t xml:space="preserve">rated as positive or negative with respect to </w:t>
      </w:r>
      <w:r w:rsidR="00DB0265" w:rsidRPr="007A77EF">
        <w:rPr>
          <w:color w:val="auto"/>
          <w:lang w:val="en-GB"/>
        </w:rPr>
        <w:t xml:space="preserve">emotional </w:t>
      </w:r>
      <w:r w:rsidRPr="007A77EF">
        <w:rPr>
          <w:color w:val="auto"/>
          <w:lang w:val="en-GB"/>
        </w:rPr>
        <w:t xml:space="preserve">valence whilst reflecting upon emotional responses to the work </w:t>
      </w:r>
      <w:r w:rsidR="00956E1B" w:rsidRPr="007A77EF">
        <w:rPr>
          <w:color w:val="auto"/>
          <w:lang w:val="en-GB"/>
        </w:rPr>
        <w:t xml:space="preserve">either: </w:t>
      </w:r>
      <w:r w:rsidRPr="007A77EF">
        <w:rPr>
          <w:color w:val="auto"/>
          <w:lang w:val="en-GB"/>
        </w:rPr>
        <w:t xml:space="preserve">(1) in relation to the </w:t>
      </w:r>
      <w:r w:rsidRPr="007A77EF">
        <w:rPr>
          <w:iCs/>
          <w:color w:val="auto"/>
          <w:lang w:val="en-GB"/>
        </w:rPr>
        <w:t>self</w:t>
      </w:r>
      <w:r w:rsidRPr="007A77EF">
        <w:rPr>
          <w:color w:val="auto"/>
          <w:lang w:val="en-GB"/>
        </w:rPr>
        <w:t xml:space="preserve">, </w:t>
      </w:r>
      <w:r w:rsidR="00956E1B" w:rsidRPr="007A77EF">
        <w:rPr>
          <w:color w:val="auto"/>
          <w:lang w:val="en-GB"/>
        </w:rPr>
        <w:t>or</w:t>
      </w:r>
      <w:r w:rsidRPr="007A77EF">
        <w:rPr>
          <w:color w:val="auto"/>
          <w:lang w:val="en-GB"/>
        </w:rPr>
        <w:t xml:space="preserve"> (2) in relation to another (the artist). It was predicted that medial rPFC would show greater activation </w:t>
      </w:r>
      <w:r w:rsidR="004C21B3" w:rsidRPr="007A77EF">
        <w:rPr>
          <w:color w:val="auto"/>
          <w:lang w:val="en-GB"/>
        </w:rPr>
        <w:t xml:space="preserve">(i.e. an increase of oxygenated haemoglobin </w:t>
      </w:r>
      <w:r w:rsidR="00DB0265" w:rsidRPr="007A77EF">
        <w:rPr>
          <w:color w:val="auto"/>
          <w:lang w:val="en-GB"/>
        </w:rPr>
        <w:t>and/</w:t>
      </w:r>
      <w:r w:rsidR="004C21B3" w:rsidRPr="007A77EF">
        <w:rPr>
          <w:color w:val="auto"/>
          <w:lang w:val="en-GB"/>
        </w:rPr>
        <w:t xml:space="preserve">or decrease of deoxygenated haemoglobin) </w:t>
      </w:r>
      <w:r w:rsidRPr="007A77EF">
        <w:rPr>
          <w:color w:val="auto"/>
          <w:lang w:val="en-GB"/>
        </w:rPr>
        <w:t xml:space="preserve">when artwork was processed in relation to the </w:t>
      </w:r>
      <w:r w:rsidRPr="007A77EF">
        <w:rPr>
          <w:iCs/>
          <w:color w:val="auto"/>
          <w:lang w:val="en-GB"/>
        </w:rPr>
        <w:t>self</w:t>
      </w:r>
      <w:r w:rsidRPr="007A77EF">
        <w:rPr>
          <w:color w:val="auto"/>
          <w:lang w:val="en-GB"/>
        </w:rPr>
        <w:t xml:space="preserve"> </w:t>
      </w:r>
      <w:r w:rsidR="00535389" w:rsidRPr="007A77EF">
        <w:rPr>
          <w:color w:val="auto"/>
          <w:lang w:val="en-GB"/>
        </w:rPr>
        <w:fldChar w:fldCharType="begin" w:fldLock="1"/>
      </w:r>
      <w:r w:rsidR="006B5874" w:rsidRPr="007A77EF">
        <w:rPr>
          <w:color w:val="auto"/>
          <w:lang w:val="en-GB"/>
        </w:rPr>
        <w:instrText>ADDIN CSL_CITATION { "citationItems" : [ { "id" : "ITEM-1", "itemData" : { "DOI" : "10.3389/fnhum.2012.00066", "ISSN" : "1662-5161", "PMID" : "22529785", "abstract" : "Aesthetic responses to visual art comprise multiple types of experiences, from sensation and perception to emotion and self-reflection. Moreover, aesthetic experience is highly individual, with observers varying significantly in their responses to the same artwork. Combining fMRI and behavioral analysis of individual differences in aesthetic response, we identify two distinct patterns of neural activity exhibited by different sub-networks. Activity increased linearly with observers' ratings (4-level scale) in sensory (occipito-temporal) regions. Activity in the striatum (STR) also varied linearly with ratings, with below-baseline activations for low-rated artworks. In contrast, a network of frontal regions showed a step-like increase only for the most moving artworks (\"4\" ratings) and non-differential activity for all others. This included several regions belonging to the \"default mode network\" (DMN) previously associated with self-referential mentation. Our results suggest that aesthetic experience involves the integration of sensory and emotional reactions in a manner linked with their personal relevance.", "author" : [ { "dropping-particle" : "", "family" : "Vessel", "given" : "E", "non-dropping-particle" : "", "parse-names" : false, "suffix" : "" }, { "dropping-particle" : "", "family" : "Starr", "given" : "G Gabrielle", "non-dropping-particle" : "", "parse-names" : false, "suffix" : "" }, { "dropping-particle" : "", "family" : "Rubin", "given" : "Nava", "non-dropping-particle" : "", "parse-names" : false, "suffix" : "" } ], "container-title" : "Frontiers in human neuroscience", "id" : "ITEM-1", "issue" : "April", "issued" : { "date-parts" : [ [ "2012", "1" ] ] }, "page" : "66", "title" : "The brain on art: intense aesthetic experience activates the default mode network.", "type" : "article-journal", "volume" : "6" }, "uris" : [ "http://www.mendeley.com/documents/?uuid=78f3d4aa-cad3-414c-97b3-4c6dba184ee0" ] }, { "id" : "ITEM-2", "itemData" : { "DOI" : "10.3389/fnins.2013.00258", "ISSN" : "1662-4548", "PMID" : "24415994", "abstract" : "In a task of rating images of artworks in an fMRI scanner, regions in the medial prefrontal cortex that are known to be part of the default mode network (DMN) were positively activated on the highest-rated trials. This is surprising given the DMN's original characterization as the set of brain regions that show greater fMRI activity during rest periods than during performance of tasks requiring focus on external stimuli. But further research showed that DMN regions could be positively activated also in structured tasks, if those tasks involved self-referential thought or self-relevant information. How may our findings be understood in this context? Although our task had no explicit self-referential aspect and the stimuli had no a priori self-relevance to the observers, the experimental design we employed emphasized the personal aspects of aesthetic experience. Observers were told that we were interested in their individual tastes, and asked to base their ratings on how much each artwork \"moved\" them. Moreover, we used little-known artworks that covered a wide range of styles, which led to high individual variability: each artwork was rated highly by some observers and poorly by others. This means that rating-specific neural responses cannot be attributed to the features of any particular artworks, but rather to the aesthetic experience itself. The DMN activity therefore suggests that certain artworks, albeit unfamiliar, may be so well-matched to an individual's unique makeup that they obtain access to the neural substrates concerned with the self-access which other external stimuli normally do not get. This mediates a sense of being \"moved,\" or \"touched from within.\" This account is consistent with the modern notion that individuals' taste in art is linked with their sense of identity, and suggests that DMN activity may serve to signal \"self-relevance\" in a broader sense than has been thought so far.", "author" : [ { "dropping-particle" : "", "family" : "Vessel", "given" : "E A", "non-dropping-particle" : "", "parse-names" : false, "suffix" : "" }, { "dropping-particle" : "", "family" : "Starr", "given" : "G Gabrielle", "non-dropping-particle" : "", "parse-names" : false, "suffix" : "" }, { "dropping-particle" : "", "family" : "Rubin", "given" : "Nava", "non-dropping-particle" : "", "parse-names" : false, "suffix" : "" } ], "container-title" : "Frontiers in neuroscience", "id" : "ITEM-2", "issue" : "December", "issued" : { "date-parts" : [ [ "2013", "1" ] ] }, "page" : "258", "title" : "Art reaches within: aesthetic experience, the self and the default mode network.", "type" : "article-journal", "volume" : "7" }, "uris" : [ "http://www.mendeley.com/documents/?uuid=ed41623c-2c33-476a-a834-68553353ac70" ] } ], "mendeley" : { "formattedCitation" : "(E. A. Vessel et al., 2013; E. Vessel et al., 2012)", "manualFormatting" : "(Vessel et al., 2012; 2013)", "plainTextFormattedCitation" : "(E. A. Vessel et al., 2013; E. Vessel et al., 2012)", "previouslyFormattedCitation" : "(E. A. Vessel et al., 2013; E. Vessel et al., 2012)" }, "properties" : { "noteIndex" : 0 }, "schema" : "https://github.com/citation-style-language/schema/raw/master/csl-citation.json" }</w:instrText>
      </w:r>
      <w:r w:rsidR="00535389" w:rsidRPr="007A77EF">
        <w:rPr>
          <w:color w:val="auto"/>
          <w:lang w:val="en-GB"/>
        </w:rPr>
        <w:fldChar w:fldCharType="separate"/>
      </w:r>
      <w:r w:rsidR="00535389" w:rsidRPr="007A77EF">
        <w:rPr>
          <w:noProof/>
          <w:color w:val="auto"/>
          <w:lang w:val="en-GB"/>
        </w:rPr>
        <w:t>(Vessel et al., 2012; 2013)</w:t>
      </w:r>
      <w:r w:rsidR="00535389" w:rsidRPr="007A77EF">
        <w:rPr>
          <w:color w:val="auto"/>
          <w:lang w:val="en-GB"/>
        </w:rPr>
        <w:fldChar w:fldCharType="end"/>
      </w:r>
      <w:r w:rsidR="00535389" w:rsidRPr="007A77EF">
        <w:rPr>
          <w:color w:val="auto"/>
          <w:lang w:val="en-GB"/>
        </w:rPr>
        <w:t xml:space="preserve">. </w:t>
      </w:r>
      <w:r w:rsidRPr="007A77EF">
        <w:rPr>
          <w:color w:val="auto"/>
          <w:lang w:val="en-GB"/>
        </w:rPr>
        <w:t>Furthermore</w:t>
      </w:r>
      <w:r w:rsidR="00CB6343" w:rsidRPr="007A77EF">
        <w:rPr>
          <w:color w:val="auto"/>
          <w:lang w:val="en-GB"/>
        </w:rPr>
        <w:t>,</w:t>
      </w:r>
      <w:r w:rsidRPr="007A77EF">
        <w:rPr>
          <w:color w:val="auto"/>
          <w:lang w:val="en-GB"/>
        </w:rPr>
        <w:t xml:space="preserve"> it was predicted that artwork associated with positive valence would result in greater activation of rPFC than images that elicited a negative emotional response</w:t>
      </w:r>
      <w:r w:rsidR="00A76847" w:rsidRPr="007A77EF">
        <w:rPr>
          <w:color w:val="auto"/>
          <w:lang w:val="en-GB"/>
        </w:rPr>
        <w:t xml:space="preserve"> </w:t>
      </w:r>
      <w:r w:rsidR="00A76847" w:rsidRPr="007A77EF">
        <w:rPr>
          <w:color w:val="auto"/>
          <w:lang w:val="en-GB"/>
        </w:rPr>
        <w:fldChar w:fldCharType="begin" w:fldLock="1"/>
      </w:r>
      <w:r w:rsidR="000C06E2" w:rsidRPr="007A77EF">
        <w:rPr>
          <w:color w:val="auto"/>
          <w:lang w:val="en-GB"/>
        </w:rPr>
        <w:instrText>ADDIN CSL_CITATION { "citationItems" : [ { "id" : "ITEM-1", "itemData" : { "DOI" : "10.3389/fnhum.2013.00879", "ISSN" : "1662-5161", "PMID" : "24391572", "abstract" : "The contemplation of visual art requires attention to be directed to external stimulus properties and internally generated thoughts. It has been proposed that the medial rostral prefrontal cortex (rPFC; BA10) plays a role in the maintenance of attention on external stimuli whereas the lateral area of the rPFC is associated with the preservation of attention on internal cognitions. An alternative hypothesis associates activation of medial rPFC with internal cognitions related to the self during emotion regulation. The aim of the current study was to differentiate activation within rPFC using functional near infrared spectroscopy (fNIRS) during the viewing of visual art selected to induce positive and negative valence, which were viewed under two conditions: (1) emotional introspection and (2) external object identification. Thirty participants (15 female) were recruited. Sixteen pre-rated images that represented either positive or negative valence were selected from an existing database of visual art. In one condition, participants were directed to engage in emotional introspection during picture viewing. The second condition involved a spot-the-difference task where participants compared two almost identical images, a viewing strategy that directed attention to external properties of the stimuli. The analysis revealed a significant increase of oxygenated blood in the medial rPFC during viewing of positive images compared to negative images. This finding suggests that the rPFC is involved during positive evaluations of visual art that may be related to judgment of pleasantness or attraction. The fNIRS data revealed no significant main effect between the two viewing conditions, which seemed to indicate that the emotional impact of the stimuli remained unaffected by the two viewing conditions.", "author" : [ { "dropping-particle" : "", "family" : "Kreplin", "given" : "Ute", "non-dropping-particle" : "", "parse-names" : false, "suffix" : "" }, { "dropping-particle" : "", "family" : "Fairclough", "given" : "Stephen H", "non-dropping-particle" : "", "parse-names" : false, "suffix" : "" } ], "container-title" : "Frontiers in human neuroscience", "id" : "ITEM-1", "issue" : "December", "issued" : { "date-parts" : [ [ "2013", "1" ] ] }, "page" : "879", "title" : "Activation of the rostromedial prefrontal cortex during the experience of positive emotion in the context of esthetic experience. An fNIRS study.", "type" : "article-journal", "volume" : "7" }, "uris" : [ "http://www.mendeley.com/documents/?uuid=eef7ce12-581f-4d7d-9c79-d0d62a2f0782" ] } ], "mendeley" : { "formattedCitation" : "(Kreplin &amp; Fairclough, 2013)", "plainTextFormattedCitation" : "(Kreplin &amp; Fairclough, 2013)", "previouslyFormattedCitation" : "(Kreplin &amp; Fairclough, 2013)" }, "properties" : { "noteIndex" : 0 }, "schema" : "https://github.com/citation-style-language/schema/raw/master/csl-citation.json" }</w:instrText>
      </w:r>
      <w:r w:rsidR="00A76847" w:rsidRPr="007A77EF">
        <w:rPr>
          <w:color w:val="auto"/>
          <w:lang w:val="en-GB"/>
        </w:rPr>
        <w:fldChar w:fldCharType="separate"/>
      </w:r>
      <w:r w:rsidR="00A76847" w:rsidRPr="007A77EF">
        <w:rPr>
          <w:noProof/>
          <w:color w:val="auto"/>
          <w:lang w:val="en-GB"/>
        </w:rPr>
        <w:t>(Kreplin &amp; Fairclough, 2013)</w:t>
      </w:r>
      <w:r w:rsidR="00A76847" w:rsidRPr="007A77EF">
        <w:rPr>
          <w:color w:val="auto"/>
          <w:lang w:val="en-GB"/>
        </w:rPr>
        <w:fldChar w:fldCharType="end"/>
      </w:r>
      <w:r w:rsidRPr="007A77EF">
        <w:rPr>
          <w:color w:val="auto"/>
          <w:lang w:val="en-GB"/>
        </w:rPr>
        <w:t xml:space="preserve">. </w:t>
      </w:r>
    </w:p>
    <w:p w14:paraId="7724BD7A" w14:textId="77777777" w:rsidR="00C8548E" w:rsidRPr="007A77EF" w:rsidRDefault="00C8548E" w:rsidP="00B93EE2">
      <w:pPr>
        <w:pStyle w:val="BodyA"/>
        <w:spacing w:line="480" w:lineRule="auto"/>
        <w:rPr>
          <w:color w:val="auto"/>
          <w:lang w:val="en-GB"/>
        </w:rPr>
      </w:pPr>
    </w:p>
    <w:p w14:paraId="6200752E" w14:textId="26D35EA2" w:rsidR="00C8548E" w:rsidRPr="007A77EF" w:rsidRDefault="00956E1B" w:rsidP="007A77EF">
      <w:pPr>
        <w:pStyle w:val="BodyA"/>
        <w:numPr>
          <w:ilvl w:val="0"/>
          <w:numId w:val="1"/>
        </w:numPr>
        <w:spacing w:line="480" w:lineRule="auto"/>
        <w:rPr>
          <w:color w:val="auto"/>
          <w:lang w:val="en-GB"/>
        </w:rPr>
      </w:pPr>
      <w:r w:rsidRPr="007A77EF">
        <w:rPr>
          <w:color w:val="auto"/>
          <w:lang w:val="en-GB"/>
        </w:rPr>
        <w:t>METHOD</w:t>
      </w:r>
    </w:p>
    <w:p w14:paraId="469C5E0C" w14:textId="15E24233" w:rsidR="00C8548E" w:rsidRPr="007A77EF" w:rsidRDefault="007A77EF" w:rsidP="00B93EE2">
      <w:pPr>
        <w:pStyle w:val="BodyA"/>
        <w:spacing w:line="480" w:lineRule="auto"/>
        <w:rPr>
          <w:color w:val="auto"/>
          <w:lang w:val="en-GB"/>
        </w:rPr>
      </w:pPr>
      <w:r w:rsidRPr="007A77EF">
        <w:rPr>
          <w:color w:val="auto"/>
          <w:lang w:val="en-GB"/>
        </w:rPr>
        <w:t xml:space="preserve">2.1 </w:t>
      </w:r>
      <w:r w:rsidR="00CB2B4E" w:rsidRPr="007A77EF">
        <w:rPr>
          <w:color w:val="auto"/>
          <w:lang w:val="en-GB"/>
        </w:rPr>
        <w:t>Participants</w:t>
      </w:r>
    </w:p>
    <w:p w14:paraId="77D0C141" w14:textId="70EDDF70" w:rsidR="00C8548E" w:rsidRDefault="004F6C61" w:rsidP="00B93EE2">
      <w:pPr>
        <w:pStyle w:val="BodyA"/>
        <w:spacing w:line="480" w:lineRule="auto"/>
        <w:rPr>
          <w:color w:val="auto"/>
          <w:lang w:val="en-GB"/>
        </w:rPr>
      </w:pPr>
      <w:r w:rsidRPr="007A77EF">
        <w:rPr>
          <w:color w:val="auto"/>
          <w:lang w:val="en-GB"/>
        </w:rPr>
        <w:tab/>
        <w:t>Twenty right-</w:t>
      </w:r>
      <w:r w:rsidR="00CB2B4E" w:rsidRPr="007A77EF">
        <w:rPr>
          <w:color w:val="auto"/>
          <w:lang w:val="en-GB"/>
        </w:rPr>
        <w:t xml:space="preserve">handed participants (10 female) with a mean age of 25.05 yrs. (s.d. 7 yrs.) were recruited from the student population at our university. All participants had no formal training in an art-related subject and no history of neurological disorder. Participants were informed about the procedure and operating mode of the </w:t>
      </w:r>
      <w:r w:rsidR="00D42BF3" w:rsidRPr="007A77EF">
        <w:rPr>
          <w:color w:val="auto"/>
          <w:lang w:val="en-GB"/>
        </w:rPr>
        <w:t>fNIRS</w:t>
      </w:r>
      <w:r w:rsidR="00CB2B4E" w:rsidRPr="007A77EF">
        <w:rPr>
          <w:color w:val="auto"/>
          <w:lang w:val="en-GB"/>
        </w:rPr>
        <w:t xml:space="preserve"> prior to providing written consent</w:t>
      </w:r>
      <w:r w:rsidR="00DC7224" w:rsidRPr="007A77EF">
        <w:rPr>
          <w:color w:val="auto"/>
          <w:lang w:val="en-GB"/>
        </w:rPr>
        <w:t xml:space="preserve"> and received a </w:t>
      </w:r>
      <w:r w:rsidR="00DC7224" w:rsidRPr="007A77EF">
        <w:rPr>
          <w:color w:val="auto"/>
          <w:lang w:val="en-GB"/>
        </w:rPr>
        <w:t>£</w:t>
      </w:r>
      <w:r w:rsidR="00DC7224" w:rsidRPr="007A77EF">
        <w:rPr>
          <w:color w:val="auto"/>
          <w:lang w:val="en-GB"/>
        </w:rPr>
        <w:t>15 voucher for their time</w:t>
      </w:r>
      <w:r w:rsidR="00CB2B4E" w:rsidRPr="007A77EF">
        <w:rPr>
          <w:color w:val="auto"/>
          <w:lang w:val="en-GB"/>
        </w:rPr>
        <w:t xml:space="preserve">. All procedures were approved by the institutional Research Ethics Committee prior to data collection. </w:t>
      </w:r>
    </w:p>
    <w:p w14:paraId="6688A168" w14:textId="77777777" w:rsidR="00C33EE0" w:rsidRDefault="00C33EE0" w:rsidP="00B93EE2">
      <w:pPr>
        <w:pStyle w:val="BodyA"/>
        <w:spacing w:line="480" w:lineRule="auto"/>
        <w:rPr>
          <w:color w:val="auto"/>
          <w:lang w:val="en-GB"/>
        </w:rPr>
      </w:pPr>
    </w:p>
    <w:p w14:paraId="22A4EFEB" w14:textId="77777777" w:rsidR="00C33EE0" w:rsidRPr="007A77EF" w:rsidRDefault="00C33EE0" w:rsidP="00B93EE2">
      <w:pPr>
        <w:pStyle w:val="BodyA"/>
        <w:spacing w:line="480" w:lineRule="auto"/>
        <w:rPr>
          <w:color w:val="auto"/>
          <w:lang w:val="en-GB"/>
        </w:rPr>
      </w:pPr>
    </w:p>
    <w:p w14:paraId="23C59B7B" w14:textId="24124DBC" w:rsidR="00C355AD" w:rsidRPr="007A77EF" w:rsidRDefault="007A77EF" w:rsidP="00B93EE2">
      <w:pPr>
        <w:pStyle w:val="BodyA"/>
        <w:spacing w:line="480" w:lineRule="auto"/>
        <w:rPr>
          <w:color w:val="auto"/>
          <w:lang w:val="en-GB"/>
        </w:rPr>
      </w:pPr>
      <w:r w:rsidRPr="007A77EF">
        <w:rPr>
          <w:color w:val="auto"/>
          <w:lang w:val="en-GB"/>
        </w:rPr>
        <w:lastRenderedPageBreak/>
        <w:t xml:space="preserve">2.2 </w:t>
      </w:r>
      <w:r w:rsidR="00C355AD" w:rsidRPr="007A77EF">
        <w:rPr>
          <w:color w:val="auto"/>
          <w:lang w:val="en-GB"/>
        </w:rPr>
        <w:t>General Procedure</w:t>
      </w:r>
    </w:p>
    <w:p w14:paraId="63E7E0B9" w14:textId="056BF161" w:rsidR="00C355AD" w:rsidRPr="007A77EF" w:rsidRDefault="00C355AD" w:rsidP="00C355AD">
      <w:pPr>
        <w:pStyle w:val="BodyA"/>
        <w:spacing w:line="480" w:lineRule="auto"/>
        <w:ind w:firstLine="720"/>
        <w:rPr>
          <w:color w:val="auto"/>
          <w:lang w:val="en-GB"/>
        </w:rPr>
      </w:pPr>
      <w:r w:rsidRPr="007A77EF">
        <w:rPr>
          <w:color w:val="auto"/>
          <w:lang w:val="en-GB"/>
        </w:rPr>
        <w:t xml:space="preserve">Upon arrival, participants were informed about the nature of the study and provided written consent before the </w:t>
      </w:r>
      <w:r w:rsidR="00D42BF3" w:rsidRPr="007A77EF">
        <w:rPr>
          <w:color w:val="auto"/>
          <w:lang w:val="en-GB"/>
        </w:rPr>
        <w:t>fNIRS</w:t>
      </w:r>
      <w:r w:rsidRPr="007A77EF">
        <w:rPr>
          <w:color w:val="auto"/>
          <w:lang w:val="en-GB"/>
        </w:rPr>
        <w:t xml:space="preserve"> device was fitted. Instructions were presented visually and participants had the opportunity to ask questions before and during four practice trials (two images per </w:t>
      </w:r>
      <w:r w:rsidRPr="007A77EF">
        <w:rPr>
          <w:i/>
          <w:iCs/>
          <w:color w:val="auto"/>
          <w:lang w:val="en-GB"/>
        </w:rPr>
        <w:t>self</w:t>
      </w:r>
      <w:r w:rsidRPr="007A77EF">
        <w:rPr>
          <w:color w:val="auto"/>
          <w:lang w:val="en-GB"/>
        </w:rPr>
        <w:t>/</w:t>
      </w:r>
      <w:r w:rsidRPr="007A77EF">
        <w:rPr>
          <w:i/>
          <w:iCs/>
          <w:color w:val="auto"/>
          <w:lang w:val="en-GB"/>
        </w:rPr>
        <w:t>other</w:t>
      </w:r>
      <w:r w:rsidRPr="007A77EF">
        <w:rPr>
          <w:color w:val="auto"/>
          <w:lang w:val="en-GB"/>
        </w:rPr>
        <w:t xml:space="preserve"> condition). The experimental protocol began after the experimenter was satisfied that the participant understood the tasks.    </w:t>
      </w:r>
    </w:p>
    <w:p w14:paraId="1E92E515" w14:textId="6D3CE967" w:rsidR="00C8548E" w:rsidRPr="007A77EF" w:rsidRDefault="007A77EF" w:rsidP="00B93EE2">
      <w:pPr>
        <w:pStyle w:val="BodyA"/>
        <w:spacing w:line="480" w:lineRule="auto"/>
        <w:rPr>
          <w:color w:val="auto"/>
          <w:lang w:val="en-GB"/>
        </w:rPr>
      </w:pPr>
      <w:r w:rsidRPr="007A77EF">
        <w:rPr>
          <w:color w:val="auto"/>
          <w:lang w:val="en-GB"/>
        </w:rPr>
        <w:t xml:space="preserve">2.3 </w:t>
      </w:r>
      <w:r w:rsidR="00CB2B4E" w:rsidRPr="007A77EF">
        <w:rPr>
          <w:color w:val="auto"/>
          <w:lang w:val="en-GB"/>
        </w:rPr>
        <w:t>Experimental Task</w:t>
      </w:r>
    </w:p>
    <w:p w14:paraId="046B23E2" w14:textId="5A5A54B6" w:rsidR="00C8548E" w:rsidRPr="007A77EF" w:rsidRDefault="00CB2B4E" w:rsidP="00B93EE2">
      <w:pPr>
        <w:pStyle w:val="BodyA"/>
        <w:spacing w:line="480" w:lineRule="auto"/>
        <w:rPr>
          <w:color w:val="auto"/>
          <w:lang w:val="en-GB"/>
        </w:rPr>
      </w:pPr>
      <w:r w:rsidRPr="007A77EF">
        <w:rPr>
          <w:color w:val="auto"/>
          <w:lang w:val="en-GB"/>
        </w:rPr>
        <w:tab/>
        <w:t>The experimental stimuli were projected onto a white wall</w:t>
      </w:r>
      <w:r w:rsidR="004F6C61" w:rsidRPr="007A77EF">
        <w:rPr>
          <w:color w:val="auto"/>
          <w:lang w:val="en-GB"/>
        </w:rPr>
        <w:t xml:space="preserve"> via a projector</w:t>
      </w:r>
      <w:r w:rsidRPr="007A77EF">
        <w:rPr>
          <w:color w:val="auto"/>
          <w:lang w:val="en-GB"/>
        </w:rPr>
        <w:t xml:space="preserve"> in front of the participants using E-prime 2.0 (PST Inc.); the image dimensions were</w:t>
      </w:r>
      <w:r w:rsidR="0029639F" w:rsidRPr="007A77EF">
        <w:rPr>
          <w:color w:val="auto"/>
          <w:lang w:val="en-GB"/>
        </w:rPr>
        <w:t xml:space="preserve"> 83cm x 67cm and</w:t>
      </w:r>
      <w:r w:rsidRPr="007A77EF">
        <w:rPr>
          <w:color w:val="auto"/>
          <w:lang w:val="en-GB"/>
        </w:rPr>
        <w:t xml:space="preserve"> 2040 x 786 pixels. The viewing distance to the </w:t>
      </w:r>
      <w:r w:rsidR="009B3297" w:rsidRPr="007A77EF">
        <w:rPr>
          <w:color w:val="auto"/>
          <w:lang w:val="en-GB"/>
        </w:rPr>
        <w:t>wall</w:t>
      </w:r>
      <w:r w:rsidRPr="007A77EF">
        <w:rPr>
          <w:color w:val="auto"/>
          <w:lang w:val="en-GB"/>
        </w:rPr>
        <w:t xml:space="preserve"> was approx. 1.90m.</w:t>
      </w:r>
      <w:r w:rsidR="007F40E6" w:rsidRPr="007A77EF">
        <w:rPr>
          <w:color w:val="auto"/>
          <w:lang w:val="en-GB"/>
        </w:rPr>
        <w:t xml:space="preserve"> </w:t>
      </w:r>
      <w:r w:rsidRPr="007A77EF">
        <w:rPr>
          <w:color w:val="auto"/>
          <w:lang w:val="en-GB"/>
        </w:rPr>
        <w:t>Each stimulus was presented for 30 sec</w:t>
      </w:r>
      <w:r w:rsidR="00001630" w:rsidRPr="007A77EF">
        <w:rPr>
          <w:color w:val="auto"/>
          <w:lang w:val="en-GB"/>
        </w:rPr>
        <w:t>onds</w:t>
      </w:r>
      <w:r w:rsidRPr="007A77EF">
        <w:rPr>
          <w:color w:val="auto"/>
          <w:lang w:val="en-GB"/>
        </w:rPr>
        <w:t xml:space="preserve"> and preceded by a 60 sec baseline consisting of a light</w:t>
      </w:r>
      <w:r w:rsidR="0073652B" w:rsidRPr="007A77EF">
        <w:rPr>
          <w:color w:val="auto"/>
          <w:lang w:val="en-GB"/>
        </w:rPr>
        <w:t xml:space="preserve"> grey screen with a fixation * (</w:t>
      </w:r>
      <w:r w:rsidR="002A515F" w:rsidRPr="007A77EF">
        <w:rPr>
          <w:color w:val="auto"/>
          <w:lang w:val="en-GB"/>
        </w:rPr>
        <w:t>Fig.</w:t>
      </w:r>
      <w:r w:rsidRPr="007A77EF">
        <w:rPr>
          <w:color w:val="auto"/>
          <w:lang w:val="en-GB"/>
        </w:rPr>
        <w:t xml:space="preserve"> 1). </w:t>
      </w:r>
      <w:r w:rsidR="00A60FB4" w:rsidRPr="007A77EF">
        <w:rPr>
          <w:color w:val="auto"/>
          <w:lang w:val="en-GB"/>
        </w:rPr>
        <w:t>The 60 second b</w:t>
      </w:r>
      <w:r w:rsidR="00FD5175" w:rsidRPr="007A77EF">
        <w:rPr>
          <w:color w:val="auto"/>
          <w:lang w:val="en-GB"/>
        </w:rPr>
        <w:t xml:space="preserve">aseline was </w:t>
      </w:r>
      <w:r w:rsidR="00C355AD" w:rsidRPr="007A77EF">
        <w:rPr>
          <w:color w:val="auto"/>
          <w:lang w:val="en-GB"/>
        </w:rPr>
        <w:t>d</w:t>
      </w:r>
      <w:r w:rsidR="00956FF0" w:rsidRPr="007A77EF">
        <w:rPr>
          <w:color w:val="auto"/>
          <w:lang w:val="en-GB"/>
        </w:rPr>
        <w:t>i</w:t>
      </w:r>
      <w:r w:rsidR="00C355AD" w:rsidRPr="007A77EF">
        <w:rPr>
          <w:color w:val="auto"/>
          <w:lang w:val="en-GB"/>
        </w:rPr>
        <w:t xml:space="preserve">vided into two parts during the analysis. Part one, consisting of the first 40 seconds, was </w:t>
      </w:r>
      <w:r w:rsidR="00FD5175" w:rsidRPr="007A77EF">
        <w:rPr>
          <w:color w:val="auto"/>
          <w:lang w:val="en-GB"/>
        </w:rPr>
        <w:t>chosen to allow the effects of the previous trial to dissipate so that the emotional response from one picture did not overlap into the next picture</w:t>
      </w:r>
      <w:r w:rsidR="00956FF0" w:rsidRPr="007A77EF">
        <w:rPr>
          <w:color w:val="auto"/>
          <w:lang w:val="en-GB"/>
        </w:rPr>
        <w:t xml:space="preserve"> and for the elimination of any motion artefacts that may have occurred during the writing task</w:t>
      </w:r>
      <w:r w:rsidR="00FD5175" w:rsidRPr="007A77EF">
        <w:rPr>
          <w:color w:val="auto"/>
          <w:lang w:val="en-GB"/>
        </w:rPr>
        <w:t xml:space="preserve">. </w:t>
      </w:r>
      <w:r w:rsidR="00C355AD" w:rsidRPr="007A77EF">
        <w:rPr>
          <w:color w:val="auto"/>
          <w:lang w:val="en-GB"/>
        </w:rPr>
        <w:t>Part two, c</w:t>
      </w:r>
      <w:r w:rsidR="00956FF0" w:rsidRPr="007A77EF">
        <w:rPr>
          <w:color w:val="auto"/>
          <w:lang w:val="en-GB"/>
        </w:rPr>
        <w:t>o</w:t>
      </w:r>
      <w:r w:rsidR="00C355AD" w:rsidRPr="007A77EF">
        <w:rPr>
          <w:color w:val="auto"/>
          <w:lang w:val="en-GB"/>
        </w:rPr>
        <w:t>nsi</w:t>
      </w:r>
      <w:r w:rsidR="00956FF0" w:rsidRPr="007A77EF">
        <w:rPr>
          <w:color w:val="auto"/>
          <w:lang w:val="en-GB"/>
        </w:rPr>
        <w:t>s</w:t>
      </w:r>
      <w:r w:rsidR="00C355AD" w:rsidRPr="007A77EF">
        <w:rPr>
          <w:color w:val="auto"/>
          <w:lang w:val="en-GB"/>
        </w:rPr>
        <w:t>ting of the last 20 se</w:t>
      </w:r>
      <w:r w:rsidR="00956FF0" w:rsidRPr="007A77EF">
        <w:rPr>
          <w:color w:val="auto"/>
          <w:lang w:val="en-GB"/>
        </w:rPr>
        <w:t>c</w:t>
      </w:r>
      <w:r w:rsidR="00C355AD" w:rsidRPr="007A77EF">
        <w:rPr>
          <w:color w:val="auto"/>
          <w:lang w:val="en-GB"/>
        </w:rPr>
        <w:t>onds immediately before stimulus presentation</w:t>
      </w:r>
      <w:r w:rsidR="00FD5175" w:rsidRPr="007A77EF">
        <w:rPr>
          <w:color w:val="auto"/>
          <w:lang w:val="en-GB"/>
        </w:rPr>
        <w:t xml:space="preserve"> was </w:t>
      </w:r>
      <w:r w:rsidR="00C355AD" w:rsidRPr="007A77EF">
        <w:rPr>
          <w:color w:val="auto"/>
          <w:lang w:val="en-GB"/>
        </w:rPr>
        <w:t>used</w:t>
      </w:r>
      <w:r w:rsidR="00FD5175" w:rsidRPr="007A77EF">
        <w:rPr>
          <w:color w:val="auto"/>
          <w:lang w:val="en-GB"/>
        </w:rPr>
        <w:t xml:space="preserve"> </w:t>
      </w:r>
      <w:r w:rsidR="00C355AD" w:rsidRPr="007A77EF">
        <w:rPr>
          <w:color w:val="auto"/>
          <w:lang w:val="en-GB"/>
        </w:rPr>
        <w:t>to calculate HbO and HH</w:t>
      </w:r>
      <w:r w:rsidR="00001630" w:rsidRPr="007A77EF">
        <w:rPr>
          <w:color w:val="auto"/>
          <w:lang w:val="en-GB"/>
        </w:rPr>
        <w:t>b</w:t>
      </w:r>
      <w:r w:rsidR="00B12F62" w:rsidRPr="007A77EF">
        <w:rPr>
          <w:color w:val="auto"/>
          <w:lang w:val="en-GB"/>
        </w:rPr>
        <w:t xml:space="preserve"> (i.e. the continuous </w:t>
      </w:r>
      <w:r w:rsidR="00D42BF3" w:rsidRPr="007A77EF">
        <w:rPr>
          <w:color w:val="auto"/>
          <w:lang w:val="en-GB"/>
        </w:rPr>
        <w:t>fNIRS</w:t>
      </w:r>
      <w:r w:rsidR="00B12F62" w:rsidRPr="007A77EF">
        <w:rPr>
          <w:color w:val="auto"/>
          <w:lang w:val="en-GB"/>
        </w:rPr>
        <w:t xml:space="preserve"> system used in the current study calculates relative change in </w:t>
      </w:r>
      <w:r w:rsidR="009B3297" w:rsidRPr="007A77EF">
        <w:rPr>
          <w:color w:val="auto"/>
          <w:lang w:val="en-GB"/>
        </w:rPr>
        <w:t>HbO</w:t>
      </w:r>
      <w:r w:rsidR="00B12F62" w:rsidRPr="007A77EF">
        <w:rPr>
          <w:color w:val="auto"/>
          <w:lang w:val="en-GB"/>
        </w:rPr>
        <w:t xml:space="preserve"> and HHb and hence always requires a baseline)</w:t>
      </w:r>
      <w:r w:rsidR="00FD5175" w:rsidRPr="007A77EF">
        <w:rPr>
          <w:color w:val="auto"/>
          <w:lang w:val="en-GB"/>
        </w:rPr>
        <w:t xml:space="preserve">. </w:t>
      </w:r>
      <w:r w:rsidRPr="007A77EF">
        <w:rPr>
          <w:color w:val="auto"/>
          <w:lang w:val="en-GB"/>
        </w:rPr>
        <w:t>Following image presentation, participants were asked to provide ratings</w:t>
      </w:r>
      <w:r w:rsidR="00535389" w:rsidRPr="007A77EF">
        <w:rPr>
          <w:color w:val="auto"/>
          <w:lang w:val="en-GB"/>
        </w:rPr>
        <w:t xml:space="preserve"> for valence and complexity on</w:t>
      </w:r>
      <w:r w:rsidRPr="007A77EF">
        <w:rPr>
          <w:color w:val="auto"/>
          <w:lang w:val="en-GB"/>
        </w:rPr>
        <w:t xml:space="preserve"> </w:t>
      </w:r>
      <w:r w:rsidR="00015B9A" w:rsidRPr="007A77EF">
        <w:rPr>
          <w:color w:val="auto"/>
          <w:lang w:val="en-GB"/>
        </w:rPr>
        <w:t xml:space="preserve">numeric </w:t>
      </w:r>
      <w:r w:rsidRPr="007A77EF">
        <w:rPr>
          <w:color w:val="auto"/>
          <w:lang w:val="en-GB"/>
        </w:rPr>
        <w:t>9-point Likert scales</w:t>
      </w:r>
      <w:r w:rsidR="00015B9A" w:rsidRPr="007A77EF">
        <w:rPr>
          <w:color w:val="auto"/>
          <w:lang w:val="en-GB"/>
        </w:rPr>
        <w:t xml:space="preserve"> with images to supporting each number</w:t>
      </w:r>
      <w:r w:rsidRPr="007A77EF">
        <w:rPr>
          <w:color w:val="auto"/>
          <w:lang w:val="en-GB"/>
        </w:rPr>
        <w:t xml:space="preserve"> (</w:t>
      </w:r>
      <w:r w:rsidR="002A515F" w:rsidRPr="007A77EF">
        <w:rPr>
          <w:color w:val="auto"/>
          <w:lang w:val="en-GB"/>
        </w:rPr>
        <w:t>Fig.</w:t>
      </w:r>
      <w:r w:rsidR="0073652B" w:rsidRPr="007A77EF">
        <w:rPr>
          <w:color w:val="auto"/>
          <w:lang w:val="en-GB"/>
        </w:rPr>
        <w:t xml:space="preserve"> </w:t>
      </w:r>
      <w:r w:rsidRPr="007A77EF">
        <w:rPr>
          <w:color w:val="auto"/>
          <w:lang w:val="en-GB"/>
        </w:rPr>
        <w:t>1)</w:t>
      </w:r>
      <w:r w:rsidR="00015B9A" w:rsidRPr="007A77EF">
        <w:rPr>
          <w:color w:val="auto"/>
          <w:lang w:val="en-GB"/>
        </w:rPr>
        <w:t>.</w:t>
      </w:r>
      <w:r w:rsidRPr="007A77EF">
        <w:rPr>
          <w:color w:val="auto"/>
          <w:lang w:val="en-GB"/>
        </w:rPr>
        <w:t xml:space="preserve"> </w:t>
      </w:r>
      <w:r w:rsidR="00015B9A" w:rsidRPr="007A77EF">
        <w:rPr>
          <w:color w:val="auto"/>
          <w:lang w:val="en-GB"/>
        </w:rPr>
        <w:t>R</w:t>
      </w:r>
      <w:r w:rsidRPr="007A77EF">
        <w:rPr>
          <w:color w:val="auto"/>
          <w:lang w:val="en-GB"/>
        </w:rPr>
        <w:t xml:space="preserve">atings were recorded in </w:t>
      </w:r>
      <w:r w:rsidR="00F658B8" w:rsidRPr="007A77EF">
        <w:rPr>
          <w:color w:val="auto"/>
          <w:lang w:val="en-GB"/>
        </w:rPr>
        <w:t>E</w:t>
      </w:r>
      <w:r w:rsidRPr="007A77EF">
        <w:rPr>
          <w:color w:val="auto"/>
          <w:lang w:val="en-GB"/>
        </w:rPr>
        <w:t xml:space="preserve">-prime via a keypad. After providing their ratings, participants were asked to write down keywords about the emotions they experienced whilst viewing the work using pen and paper. This writing task was limited to 30 seconds, a beep alerted participants to proceed to the next image. </w:t>
      </w:r>
      <w:r w:rsidR="00015B9A" w:rsidRPr="007A77EF">
        <w:rPr>
          <w:color w:val="auto"/>
          <w:lang w:val="en-GB"/>
        </w:rPr>
        <w:t>A white screen with a &lt;&gt; indicate</w:t>
      </w:r>
      <w:r w:rsidR="00314C48" w:rsidRPr="007A77EF">
        <w:rPr>
          <w:color w:val="auto"/>
          <w:lang w:val="en-GB"/>
        </w:rPr>
        <w:t>d</w:t>
      </w:r>
      <w:r w:rsidR="00015B9A" w:rsidRPr="007A77EF">
        <w:rPr>
          <w:color w:val="auto"/>
          <w:lang w:val="en-GB"/>
        </w:rPr>
        <w:t xml:space="preserve"> the start of the next </w:t>
      </w:r>
      <w:r w:rsidR="007F40E6" w:rsidRPr="007A77EF">
        <w:rPr>
          <w:color w:val="auto"/>
          <w:lang w:val="en-GB"/>
        </w:rPr>
        <w:t>trial</w:t>
      </w:r>
      <w:r w:rsidR="00015B9A" w:rsidRPr="007A77EF">
        <w:rPr>
          <w:color w:val="auto"/>
          <w:lang w:val="en-GB"/>
        </w:rPr>
        <w:t xml:space="preserve">. The total duration of the experiment was 1 hour. </w:t>
      </w:r>
    </w:p>
    <w:p w14:paraId="1D4C52FF" w14:textId="77777777" w:rsidR="00C8548E" w:rsidRPr="007A77EF" w:rsidRDefault="00CB2B4E" w:rsidP="00B93EE2">
      <w:pPr>
        <w:pStyle w:val="BodyA"/>
        <w:spacing w:line="480" w:lineRule="auto"/>
        <w:rPr>
          <w:color w:val="auto"/>
          <w:lang w:val="en-GB"/>
        </w:rPr>
      </w:pPr>
      <w:r w:rsidRPr="007A77EF">
        <w:rPr>
          <w:color w:val="auto"/>
          <w:lang w:val="en-GB"/>
        </w:rPr>
        <w:lastRenderedPageBreak/>
        <w:tab/>
        <w:t>Two categories of introspection were designed by asking participants to contemplate the emotional content of the image from their own point of view (</w:t>
      </w:r>
      <w:r w:rsidRPr="007A77EF">
        <w:rPr>
          <w:i/>
          <w:iCs/>
          <w:color w:val="auto"/>
          <w:lang w:val="en-GB"/>
        </w:rPr>
        <w:t>self</w:t>
      </w:r>
      <w:r w:rsidRPr="007A77EF">
        <w:rPr>
          <w:color w:val="auto"/>
          <w:lang w:val="en-GB"/>
        </w:rPr>
        <w:t>) or from the perspective of the artist (</w:t>
      </w:r>
      <w:r w:rsidRPr="007A77EF">
        <w:rPr>
          <w:i/>
          <w:iCs/>
          <w:color w:val="auto"/>
          <w:lang w:val="en-GB"/>
        </w:rPr>
        <w:t>other</w:t>
      </w:r>
      <w:r w:rsidRPr="007A77EF">
        <w:rPr>
          <w:color w:val="auto"/>
          <w:lang w:val="en-GB"/>
        </w:rPr>
        <w:t xml:space="preserve">). The prompt displayed before each image in the </w:t>
      </w:r>
      <w:r w:rsidRPr="007A77EF">
        <w:rPr>
          <w:i/>
          <w:iCs/>
          <w:color w:val="auto"/>
          <w:lang w:val="en-GB"/>
        </w:rPr>
        <w:t>self</w:t>
      </w:r>
      <w:r w:rsidRPr="007A77EF">
        <w:rPr>
          <w:color w:val="auto"/>
          <w:lang w:val="en-GB"/>
        </w:rPr>
        <w:t xml:space="preserve">-condition was: </w:t>
      </w:r>
    </w:p>
    <w:p w14:paraId="1418B577" w14:textId="77777777" w:rsidR="00C8548E" w:rsidRPr="007A77EF" w:rsidRDefault="00CB2B4E" w:rsidP="00B93EE2">
      <w:pPr>
        <w:pStyle w:val="BodyA"/>
        <w:spacing w:line="480" w:lineRule="auto"/>
        <w:rPr>
          <w:color w:val="auto"/>
          <w:lang w:val="en-GB"/>
        </w:rPr>
      </w:pPr>
      <w:r w:rsidRPr="007A77EF">
        <w:rPr>
          <w:rFonts w:hAnsi="Times New Roman"/>
          <w:color w:val="auto"/>
          <w:lang w:val="en-GB"/>
        </w:rPr>
        <w:t>“</w:t>
      </w:r>
      <w:r w:rsidRPr="007A77EF">
        <w:rPr>
          <w:i/>
          <w:iCs/>
          <w:color w:val="auto"/>
          <w:lang w:val="en-GB"/>
        </w:rPr>
        <w:t>SELF</w:t>
      </w:r>
      <w:r w:rsidRPr="007A77EF">
        <w:rPr>
          <w:color w:val="auto"/>
          <w:lang w:val="en-GB"/>
        </w:rPr>
        <w:t>: Think about how the image makes YOU feel. Does it make you feel sad/happy/angry? Does it make you think of a situation where you felt sad/happy/angry?</w:t>
      </w:r>
      <w:r w:rsidRPr="007A77EF">
        <w:rPr>
          <w:rFonts w:hAnsi="Times New Roman"/>
          <w:color w:val="auto"/>
          <w:lang w:val="en-GB"/>
        </w:rPr>
        <w:t xml:space="preserve">” </w:t>
      </w:r>
    </w:p>
    <w:p w14:paraId="12F64BE2" w14:textId="77777777" w:rsidR="00C8548E" w:rsidRPr="007A77EF" w:rsidRDefault="00CB2B4E" w:rsidP="00B93EE2">
      <w:pPr>
        <w:pStyle w:val="BodyA"/>
        <w:spacing w:line="480" w:lineRule="auto"/>
        <w:rPr>
          <w:color w:val="auto"/>
          <w:lang w:val="en-GB"/>
        </w:rPr>
      </w:pPr>
      <w:r w:rsidRPr="007A77EF">
        <w:rPr>
          <w:color w:val="auto"/>
          <w:lang w:val="en-GB"/>
        </w:rPr>
        <w:t xml:space="preserve">The prompt for the </w:t>
      </w:r>
      <w:r w:rsidRPr="007A77EF">
        <w:rPr>
          <w:i/>
          <w:iCs/>
          <w:color w:val="auto"/>
          <w:lang w:val="en-GB"/>
        </w:rPr>
        <w:t>other</w:t>
      </w:r>
      <w:r w:rsidRPr="007A77EF">
        <w:rPr>
          <w:color w:val="auto"/>
          <w:lang w:val="en-GB"/>
        </w:rPr>
        <w:t xml:space="preserve">-condition was: </w:t>
      </w:r>
    </w:p>
    <w:p w14:paraId="0DC9D2AE" w14:textId="0BC38CC2" w:rsidR="00C8548E" w:rsidRPr="007A77EF" w:rsidRDefault="00CB2B4E" w:rsidP="00B93EE2">
      <w:pPr>
        <w:pStyle w:val="BodyA"/>
        <w:spacing w:line="480" w:lineRule="auto"/>
        <w:rPr>
          <w:color w:val="auto"/>
          <w:lang w:val="en-GB"/>
        </w:rPr>
      </w:pPr>
      <w:r w:rsidRPr="007A77EF">
        <w:rPr>
          <w:rFonts w:hAnsi="Times New Roman"/>
          <w:color w:val="auto"/>
          <w:lang w:val="en-GB"/>
        </w:rPr>
        <w:t>“</w:t>
      </w:r>
      <w:r w:rsidR="00F658B8" w:rsidRPr="007A77EF">
        <w:rPr>
          <w:i/>
          <w:iCs/>
          <w:color w:val="auto"/>
          <w:lang w:val="en-GB"/>
        </w:rPr>
        <w:t>OTHER</w:t>
      </w:r>
      <w:r w:rsidRPr="007A77EF">
        <w:rPr>
          <w:color w:val="auto"/>
          <w:lang w:val="en-GB"/>
        </w:rPr>
        <w:t>: Think about the ARTIST. What feelings or emotions did they want to show in the picture? What type of person painted this picture, e.g. gender</w:t>
      </w:r>
      <w:r w:rsidR="00466E35" w:rsidRPr="007A77EF">
        <w:rPr>
          <w:color w:val="auto"/>
          <w:lang w:val="en-GB"/>
        </w:rPr>
        <w:t xml:space="preserve"> and</w:t>
      </w:r>
      <w:r w:rsidRPr="007A77EF">
        <w:rPr>
          <w:color w:val="auto"/>
          <w:lang w:val="en-GB"/>
        </w:rPr>
        <w:t xml:space="preserve"> personality and were they a happy/sad/angry person?</w:t>
      </w:r>
      <w:r w:rsidRPr="007A77EF">
        <w:rPr>
          <w:rFonts w:hAnsi="Times New Roman"/>
          <w:color w:val="auto"/>
          <w:lang w:val="en-GB"/>
        </w:rPr>
        <w:t xml:space="preserve">” </w:t>
      </w:r>
    </w:p>
    <w:p w14:paraId="12A40BD2" w14:textId="4DE0CB77" w:rsidR="00C8548E" w:rsidRPr="007A77EF" w:rsidRDefault="00CB2B4E" w:rsidP="00B93EE2">
      <w:pPr>
        <w:pStyle w:val="BodyA"/>
        <w:spacing w:line="480" w:lineRule="auto"/>
        <w:rPr>
          <w:color w:val="auto"/>
          <w:lang w:val="en-GB"/>
        </w:rPr>
      </w:pPr>
      <w:r w:rsidRPr="007A77EF">
        <w:rPr>
          <w:color w:val="auto"/>
          <w:lang w:val="en-GB"/>
        </w:rPr>
        <w:tab/>
      </w:r>
      <w:r w:rsidR="00525317" w:rsidRPr="007A77EF">
        <w:rPr>
          <w:color w:val="auto"/>
          <w:lang w:val="en-GB"/>
        </w:rPr>
        <w:t xml:space="preserve">Image presentation was randomised. </w:t>
      </w:r>
      <w:r w:rsidRPr="007A77EF">
        <w:rPr>
          <w:color w:val="auto"/>
          <w:lang w:val="en-GB"/>
        </w:rPr>
        <w:t xml:space="preserve">Each image was only displayed once in each viewing condition and presentation was counterbalanced, i.e. half of the participants saw half of the images in the </w:t>
      </w:r>
      <w:r w:rsidRPr="007A77EF">
        <w:rPr>
          <w:i/>
          <w:iCs/>
          <w:color w:val="auto"/>
          <w:lang w:val="en-GB"/>
        </w:rPr>
        <w:t>self</w:t>
      </w:r>
      <w:r w:rsidRPr="007A77EF">
        <w:rPr>
          <w:color w:val="auto"/>
          <w:lang w:val="en-GB"/>
        </w:rPr>
        <w:t xml:space="preserve">-condition and the other participants saw the same images in the </w:t>
      </w:r>
      <w:r w:rsidRPr="007A77EF">
        <w:rPr>
          <w:i/>
          <w:iCs/>
          <w:color w:val="auto"/>
          <w:lang w:val="en-GB"/>
        </w:rPr>
        <w:t>other</w:t>
      </w:r>
      <w:r w:rsidRPr="007A77EF">
        <w:rPr>
          <w:color w:val="auto"/>
          <w:lang w:val="en-GB"/>
        </w:rPr>
        <w:t>-condition.</w:t>
      </w:r>
    </w:p>
    <w:p w14:paraId="3A662A04" w14:textId="77777777" w:rsidR="00C8548E" w:rsidRPr="007A77EF" w:rsidRDefault="00C8548E" w:rsidP="00B93EE2">
      <w:pPr>
        <w:pStyle w:val="BodyA"/>
        <w:spacing w:line="480" w:lineRule="auto"/>
        <w:rPr>
          <w:color w:val="auto"/>
          <w:lang w:val="en-GB"/>
        </w:rPr>
      </w:pPr>
    </w:p>
    <w:p w14:paraId="0B1AB1DD" w14:textId="45A5310E" w:rsidR="00C8548E" w:rsidRPr="007A77EF" w:rsidRDefault="001E2D1D" w:rsidP="00D43560">
      <w:pPr>
        <w:pStyle w:val="BodyA"/>
        <w:spacing w:line="480" w:lineRule="auto"/>
        <w:jc w:val="center"/>
        <w:rPr>
          <w:color w:val="auto"/>
          <w:lang w:val="en-GB"/>
        </w:rPr>
      </w:pPr>
      <w:r w:rsidRPr="007A77EF">
        <w:rPr>
          <w:noProof/>
          <w:color w:val="auto"/>
          <w:lang w:eastAsia="en-US"/>
        </w:rPr>
        <w:drawing>
          <wp:inline distT="0" distB="0" distL="0" distR="0" wp14:anchorId="6D57C937" wp14:editId="6C28BC1C">
            <wp:extent cx="5727700" cy="31699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mp"/>
                    <pic:cNvPicPr/>
                  </pic:nvPicPr>
                  <pic:blipFill>
                    <a:blip r:embed="rId10">
                      <a:extLst>
                        <a:ext uri="{28A0092B-C50C-407E-A947-70E740481C1C}">
                          <a14:useLocalDpi xmlns:a14="http://schemas.microsoft.com/office/drawing/2010/main" val="0"/>
                        </a:ext>
                      </a:extLst>
                    </a:blip>
                    <a:stretch>
                      <a:fillRect/>
                    </a:stretch>
                  </pic:blipFill>
                  <pic:spPr>
                    <a:xfrm>
                      <a:off x="0" y="0"/>
                      <a:ext cx="5727700" cy="3169920"/>
                    </a:xfrm>
                    <a:prstGeom prst="rect">
                      <a:avLst/>
                    </a:prstGeom>
                  </pic:spPr>
                </pic:pic>
              </a:graphicData>
            </a:graphic>
          </wp:inline>
        </w:drawing>
      </w:r>
    </w:p>
    <w:p w14:paraId="4D097E11" w14:textId="4E1DFE9E" w:rsidR="00002AB3" w:rsidRPr="007A77EF" w:rsidRDefault="00002AB3" w:rsidP="00B93EE2">
      <w:pPr>
        <w:pStyle w:val="BodyA"/>
        <w:spacing w:line="480" w:lineRule="auto"/>
        <w:rPr>
          <w:color w:val="auto"/>
          <w:lang w:val="en-GB"/>
        </w:rPr>
      </w:pPr>
      <w:r w:rsidRPr="007A77EF">
        <w:rPr>
          <w:b/>
          <w:color w:val="auto"/>
        </w:rPr>
        <w:lastRenderedPageBreak/>
        <w:t xml:space="preserve">Figure 1. Time-line of the experiment for each condition (condition 1 = </w:t>
      </w:r>
      <w:r w:rsidRPr="007A77EF">
        <w:rPr>
          <w:b/>
          <w:bCs/>
          <w:i/>
          <w:iCs/>
          <w:color w:val="auto"/>
        </w:rPr>
        <w:t>self</w:t>
      </w:r>
      <w:r w:rsidRPr="007A77EF">
        <w:rPr>
          <w:b/>
          <w:color w:val="auto"/>
        </w:rPr>
        <w:t xml:space="preserve">, condition 2 = </w:t>
      </w:r>
      <w:r w:rsidRPr="007A77EF">
        <w:rPr>
          <w:b/>
          <w:bCs/>
          <w:i/>
          <w:iCs/>
          <w:color w:val="auto"/>
        </w:rPr>
        <w:t>other</w:t>
      </w:r>
      <w:r w:rsidRPr="007A77EF">
        <w:rPr>
          <w:b/>
          <w:color w:val="auto"/>
        </w:rPr>
        <w:t>).</w:t>
      </w:r>
    </w:p>
    <w:p w14:paraId="00363130" w14:textId="77777777" w:rsidR="00002AB3" w:rsidRPr="007A77EF" w:rsidRDefault="00002AB3" w:rsidP="00B93EE2">
      <w:pPr>
        <w:pStyle w:val="BodyA"/>
        <w:spacing w:line="480" w:lineRule="auto"/>
        <w:ind w:firstLine="720"/>
        <w:rPr>
          <w:color w:val="auto"/>
          <w:lang w:val="en-GB"/>
        </w:rPr>
      </w:pPr>
    </w:p>
    <w:p w14:paraId="64D94948" w14:textId="54D318E4" w:rsidR="00C8548E" w:rsidRPr="007A77EF" w:rsidRDefault="007A77EF" w:rsidP="00B93EE2">
      <w:pPr>
        <w:pStyle w:val="BodyA"/>
        <w:spacing w:line="480" w:lineRule="auto"/>
        <w:rPr>
          <w:color w:val="auto"/>
          <w:lang w:val="en-GB"/>
        </w:rPr>
      </w:pPr>
      <w:r w:rsidRPr="007A77EF">
        <w:rPr>
          <w:color w:val="auto"/>
          <w:lang w:val="en-GB"/>
        </w:rPr>
        <w:t xml:space="preserve">2.4 </w:t>
      </w:r>
      <w:r w:rsidR="00CB2B4E" w:rsidRPr="007A77EF">
        <w:rPr>
          <w:color w:val="auto"/>
          <w:lang w:val="en-GB"/>
        </w:rPr>
        <w:t>Experimental Stimuli</w:t>
      </w:r>
    </w:p>
    <w:p w14:paraId="7EDD440A" w14:textId="479E7C65" w:rsidR="00C8548E" w:rsidRPr="007A77EF" w:rsidRDefault="00CB2B4E" w:rsidP="00B93EE2">
      <w:pPr>
        <w:pStyle w:val="BodyA"/>
        <w:spacing w:line="480" w:lineRule="auto"/>
        <w:rPr>
          <w:color w:val="auto"/>
          <w:lang w:val="en-GB"/>
        </w:rPr>
      </w:pPr>
      <w:r w:rsidRPr="007A77EF">
        <w:rPr>
          <w:color w:val="auto"/>
          <w:lang w:val="en-GB"/>
        </w:rPr>
        <w:tab/>
        <w:t>Sixteen images (8 in a positive valence category, 8 in a negative valence category) were selected according to ratings of valence and complexity obtained during an online survey (N = 1028) (Kreplin &amp; Fairclough, 2013). The mean valence ratings for positive images was 3.33 (s.d. 1.75) whereas negative images scored an average of 6.32 (s.d. 1.92).  Subjective ratings of image complexity from the survey did not significantly differ between positive (mean 3.97, s.d. 2.06) and negative (mean 4.29, s.d. 1.97) images. Both groups of images were viewed under two conditions</w:t>
      </w:r>
      <w:r w:rsidR="00696006" w:rsidRPr="007A77EF">
        <w:rPr>
          <w:color w:val="auto"/>
          <w:lang w:val="en-GB"/>
        </w:rPr>
        <w:t xml:space="preserve"> (</w:t>
      </w:r>
      <w:r w:rsidR="00696006" w:rsidRPr="007A77EF">
        <w:rPr>
          <w:i/>
          <w:color w:val="auto"/>
          <w:lang w:val="en-GB"/>
        </w:rPr>
        <w:t>self/other)</w:t>
      </w:r>
      <w:r w:rsidRPr="007A77EF">
        <w:rPr>
          <w:color w:val="auto"/>
          <w:lang w:val="en-GB"/>
        </w:rPr>
        <w:t xml:space="preserve"> making a total of four categories (positive </w:t>
      </w:r>
      <w:r w:rsidRPr="007A77EF">
        <w:rPr>
          <w:i/>
          <w:iCs/>
          <w:color w:val="auto"/>
          <w:lang w:val="en-GB"/>
        </w:rPr>
        <w:t>self</w:t>
      </w:r>
      <w:r w:rsidRPr="007A77EF">
        <w:rPr>
          <w:color w:val="auto"/>
          <w:lang w:val="en-GB"/>
        </w:rPr>
        <w:t xml:space="preserve"> (PS), negative </w:t>
      </w:r>
      <w:r w:rsidRPr="007A77EF">
        <w:rPr>
          <w:i/>
          <w:iCs/>
          <w:color w:val="auto"/>
          <w:lang w:val="en-GB"/>
        </w:rPr>
        <w:t>self</w:t>
      </w:r>
      <w:r w:rsidRPr="007A77EF">
        <w:rPr>
          <w:color w:val="auto"/>
          <w:lang w:val="en-GB"/>
        </w:rPr>
        <w:t xml:space="preserve"> (NS), positive </w:t>
      </w:r>
      <w:r w:rsidRPr="007A77EF">
        <w:rPr>
          <w:i/>
          <w:iCs/>
          <w:color w:val="auto"/>
          <w:lang w:val="en-GB"/>
        </w:rPr>
        <w:t>other</w:t>
      </w:r>
      <w:r w:rsidRPr="007A77EF">
        <w:rPr>
          <w:color w:val="auto"/>
          <w:lang w:val="en-GB"/>
        </w:rPr>
        <w:t xml:space="preserve"> (PO) and negative </w:t>
      </w:r>
      <w:r w:rsidRPr="007A77EF">
        <w:rPr>
          <w:i/>
          <w:iCs/>
          <w:color w:val="auto"/>
          <w:lang w:val="en-GB"/>
        </w:rPr>
        <w:t>other</w:t>
      </w:r>
      <w:r w:rsidRPr="007A77EF">
        <w:rPr>
          <w:color w:val="auto"/>
          <w:lang w:val="en-GB"/>
        </w:rPr>
        <w:t xml:space="preserve"> (NO) (</w:t>
      </w:r>
      <w:r w:rsidR="002A515F" w:rsidRPr="007A77EF">
        <w:rPr>
          <w:color w:val="auto"/>
          <w:lang w:val="en-GB"/>
        </w:rPr>
        <w:t>Fig.</w:t>
      </w:r>
      <w:r w:rsidR="0073652B" w:rsidRPr="007A77EF">
        <w:rPr>
          <w:color w:val="auto"/>
          <w:lang w:val="en-GB"/>
        </w:rPr>
        <w:t xml:space="preserve"> </w:t>
      </w:r>
      <w:r w:rsidRPr="007A77EF">
        <w:rPr>
          <w:color w:val="auto"/>
          <w:lang w:val="en-GB"/>
        </w:rPr>
        <w:t xml:space="preserve">2). </w:t>
      </w:r>
    </w:p>
    <w:p w14:paraId="23C3AE74" w14:textId="4CBC2B52" w:rsidR="00247A5B" w:rsidRPr="007A77EF" w:rsidRDefault="00247A5B" w:rsidP="00B93EE2">
      <w:pPr>
        <w:pStyle w:val="BodyA"/>
        <w:spacing w:line="480" w:lineRule="auto"/>
        <w:rPr>
          <w:color w:val="auto"/>
          <w:lang w:val="en-GB"/>
        </w:rPr>
      </w:pPr>
      <w:r w:rsidRPr="007A77EF">
        <w:rPr>
          <w:noProof/>
          <w:color w:val="auto"/>
          <w:lang w:eastAsia="en-US"/>
        </w:rPr>
        <w:drawing>
          <wp:inline distT="0" distB="0" distL="0" distR="0" wp14:anchorId="69D6BB6F" wp14:editId="314A17AA">
            <wp:extent cx="5727700" cy="19126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1912620"/>
                    </a:xfrm>
                    <a:prstGeom prst="rect">
                      <a:avLst/>
                    </a:prstGeom>
                  </pic:spPr>
                </pic:pic>
              </a:graphicData>
            </a:graphic>
          </wp:inline>
        </w:drawing>
      </w:r>
    </w:p>
    <w:p w14:paraId="0F2C57BE" w14:textId="77777777" w:rsidR="00247A5B" w:rsidRPr="007A77EF" w:rsidRDefault="00247A5B" w:rsidP="00B93EE2">
      <w:pPr>
        <w:pStyle w:val="BodyA"/>
        <w:spacing w:line="480" w:lineRule="auto"/>
        <w:rPr>
          <w:b/>
          <w:color w:val="auto"/>
        </w:rPr>
      </w:pPr>
      <w:r w:rsidRPr="007A77EF">
        <w:rPr>
          <w:b/>
          <w:color w:val="auto"/>
        </w:rPr>
        <w:t xml:space="preserve">Figure 2. Examples of the stimuli assigned to the two valence categories (a) positive (Best Abstract </w:t>
      </w:r>
      <w:r w:rsidRPr="007A77EF">
        <w:rPr>
          <w:b/>
          <w:color w:val="auto"/>
        </w:rPr>
        <w:t>©</w:t>
      </w:r>
      <w:r w:rsidRPr="007A77EF">
        <w:rPr>
          <w:b/>
          <w:color w:val="auto"/>
        </w:rPr>
        <w:t xml:space="preserve"> Adrian Borda) and (b) negative (Photo by Jason Kaufman, Los Angeles, 2010 (Paul McCarthy) </w:t>
      </w:r>
      <w:r w:rsidRPr="007A77EF">
        <w:rPr>
          <w:b/>
          <w:color w:val="auto"/>
        </w:rPr>
        <w:t>©</w:t>
      </w:r>
      <w:r w:rsidRPr="007A77EF">
        <w:rPr>
          <w:b/>
          <w:color w:val="auto"/>
        </w:rPr>
        <w:t xml:space="preserve"> 2011).</w:t>
      </w:r>
    </w:p>
    <w:p w14:paraId="7D5339A6" w14:textId="77777777" w:rsidR="00C8548E" w:rsidRPr="007A77EF" w:rsidRDefault="00C8548E" w:rsidP="00B93EE2">
      <w:pPr>
        <w:pStyle w:val="BodyA"/>
        <w:spacing w:line="480" w:lineRule="auto"/>
        <w:rPr>
          <w:color w:val="auto"/>
          <w:lang w:val="en-GB"/>
        </w:rPr>
      </w:pPr>
    </w:p>
    <w:p w14:paraId="7208D694" w14:textId="32DF5683" w:rsidR="00FD79EF" w:rsidRPr="007A77EF" w:rsidRDefault="00CB2B4E" w:rsidP="00B93EE2">
      <w:pPr>
        <w:pStyle w:val="BodyA"/>
        <w:spacing w:line="480" w:lineRule="auto"/>
        <w:rPr>
          <w:color w:val="auto"/>
          <w:lang w:val="en-GB"/>
        </w:rPr>
      </w:pPr>
      <w:r w:rsidRPr="007A77EF">
        <w:rPr>
          <w:color w:val="auto"/>
          <w:lang w:val="en-GB"/>
        </w:rPr>
        <w:tab/>
        <w:t xml:space="preserve">Individual difference during the evaluation of visual art has been highlighted as a methodological problem in past studies (see </w:t>
      </w:r>
      <w:r w:rsidR="00C26F40" w:rsidRPr="007A77EF">
        <w:rPr>
          <w:color w:val="auto"/>
        </w:rPr>
        <w:fldChar w:fldCharType="begin" w:fldLock="1"/>
      </w:r>
      <w:r w:rsidR="000C06E2" w:rsidRPr="007A77EF">
        <w:rPr>
          <w:color w:val="auto"/>
          <w:lang w:val="en-GB"/>
        </w:rPr>
        <w:instrText>ADDIN CSL_CITATION { "citationItems" : [ { "id" : "ITEM-1", "itemData" : { "DOI" : "10.1016/j.bandc.2009.01.003", "ISSN" : "1090-2147", "PMID" : "19223099", "abstract" : "When we view visual images in everyday life, our perception is oriented toward object identification. In contrast, when viewing visual images as artworks, we also tend to experience subjective reactions to their stylistic and structural properties. This experiment sought to determine how cognitive control and perceptual facilitation contribute to aesthetic perception along with the experience of emotion. Using functional MRI, we show that aesthetic perception activated bilateral insula which we attribute to the experience of emotion. Moreover, while adopting the aesthetic orientation activated the left lateral prefrontal cortex, paintings that facilitated visuospatial exploration activated the left superior parietal lobule. The results suggest that aesthetic experience is a function of the interaction between top-down orienting of attention and bottom-up perceptual facilitation.", "author" : [ { "dropping-particle" : "", "family" : "Cupchik", "given" : "Gerald C", "non-dropping-particle" : "", "parse-names" : false, "suffix" : "" }, { "dropping-particle" : "", "family" : "Vartanian", "given" : "Oshin", "non-dropping-particle" : "", "parse-names" : false, "suffix" : "" }, { "dropping-particle" : "", "family" : "Crawley", "given" : "Adrian", "non-dropping-particle" : "", "parse-names" : false, "suffix" : "" }, { "dropping-particle" : "", "family" : "Mikulis", "given" : "David J", "non-dropping-particle" : "", "parse-names" : false, "suffix" : "" } ], "container-title" : "Brain and cognition", "id" : "ITEM-1", "issue" : "1", "issued" : { "date-parts" : [ [ "2009", "6" ] ] }, "page" : "84-91", "publisher" : "Elsevier Inc.", "title" : "Viewing artworks: contributions of cognitive control and perceptual facilitation to aesthetic experience.", "type" : "article-journal", "volume" : "70" }, "uris" : [ "http://www.mendeley.com/documents/?uuid=16489651-3474-4399-ac0b-f1ad49abba07" ] }, { "id" : "ITEM-2", "itemData" : { "DOI" : "10.3389/fnhum.2012.00066", "ISSN" : "1662-5161", "PMID" : "22529785", "abstract" : "Aesthetic responses to visual art comprise multiple types of experiences, from sensation and perception to emotion and self-reflection. Moreover, aesthetic experience is highly individual, with observers varying significantly in their responses to the same artwork. Combining fMRI and behavioral analysis of individual differences in aesthetic response, we identify two distinct patterns of neural activity exhibited by different sub-networks. Activity increased linearly with observers' ratings (4-level scale) in sensory (occipito-temporal) regions. Activity in the striatum (STR) also varied linearly with ratings, with below-baseline activations for low-rated artworks. In contrast, a network of frontal regions showed a step-like increase only for the most moving artworks (\"4\" ratings) and non-differential activity for all others. This included several regions belonging to the \"default mode network\" (DMN) previously associated with self-referential mentation. Our results suggest that aesthetic experience involves the integration of sensory and emotional reactions in a manner linked with their personal relevance.", "author" : [ { "dropping-particle" : "", "family" : "Vessel", "given" : "E", "non-dropping-particle" : "", "parse-names" : false, "suffix" : "" }, { "dropping-particle" : "", "family" : "Starr", "given" : "G Gabrielle", "non-dropping-particle" : "", "parse-names" : false, "suffix" : "" }, { "dropping-particle" : "", "family" : "Rubin", "given" : "Nava", "non-dropping-particle" : "", "parse-names" : false, "suffix" : "" } ], "container-title" : "Frontiers in human neuroscience", "id" : "ITEM-2", "issue" : "April", "issued" : { "date-parts" : [ [ "2012", "1" ] ] }, "page" : "66", "title" : "The brain on art: intense aesthetic experience activates the default mode network.", "type" : "article-journal", "volume" : "6" }, "uris" : [ "http://www.mendeley.com/documents/?uuid=78f3d4aa-cad3-414c-97b3-4c6dba184ee0" ] } ], "mendeley" : { "formattedCitation" : "(Cupchik, Vartanian, Crawley, &amp; Mikulis, 2009; E. Vessel et al., 2012)", "manualFormatting" : "Cupchik, Vartanian, Crawley, &amp; Mikulis, 2009; Vessel et al., 2012)", "plainTextFormattedCitation" : "(Cupchik, Vartanian, Crawley, &amp; Mikulis, 2009; E. Vessel et al., 2012)", "previouslyFormattedCitation" : "(Cupchik, Vartanian, Crawley, &amp; Mikulis, 2009; E. Vessel et al., 2012)" }, "properties" : { "noteIndex" : 0 }, "schema" : "https://github.com/citation-style-language/schema/raw/master/csl-citation.json" }</w:instrText>
      </w:r>
      <w:r w:rsidR="00C26F40" w:rsidRPr="007A77EF">
        <w:rPr>
          <w:color w:val="auto"/>
        </w:rPr>
        <w:fldChar w:fldCharType="separate"/>
      </w:r>
      <w:r w:rsidR="00C26F40" w:rsidRPr="007A77EF">
        <w:rPr>
          <w:noProof/>
          <w:color w:val="auto"/>
          <w:lang w:val="en-GB"/>
        </w:rPr>
        <w:t>Cupchik, Vartanian, Crawley, &amp; Mikulis, 2009; Vessel et al., 2012)</w:t>
      </w:r>
      <w:r w:rsidR="00C26F40" w:rsidRPr="007A77EF">
        <w:rPr>
          <w:color w:val="auto"/>
        </w:rPr>
        <w:fldChar w:fldCharType="end"/>
      </w:r>
      <w:r w:rsidRPr="007A77EF">
        <w:rPr>
          <w:color w:val="auto"/>
          <w:lang w:val="en-GB"/>
        </w:rPr>
        <w:t xml:space="preserve">. To obtain stimuli that were </w:t>
      </w:r>
      <w:r w:rsidR="00FD79EF" w:rsidRPr="007A77EF">
        <w:rPr>
          <w:color w:val="auto"/>
          <w:lang w:val="en-GB"/>
        </w:rPr>
        <w:t xml:space="preserve">calibrated </w:t>
      </w:r>
      <w:r w:rsidRPr="007A77EF">
        <w:rPr>
          <w:color w:val="auto"/>
          <w:lang w:val="en-GB"/>
        </w:rPr>
        <w:t>t</w:t>
      </w:r>
      <w:r w:rsidR="00FD79EF" w:rsidRPr="007A77EF">
        <w:rPr>
          <w:color w:val="auto"/>
          <w:lang w:val="en-GB"/>
        </w:rPr>
        <w:t>o maximise the</w:t>
      </w:r>
      <w:r w:rsidR="00F658B8" w:rsidRPr="007A77EF">
        <w:rPr>
          <w:color w:val="auto"/>
          <w:lang w:val="en-GB"/>
        </w:rPr>
        <w:t xml:space="preserve"> differentiation </w:t>
      </w:r>
      <w:r w:rsidR="00F658B8" w:rsidRPr="007A77EF">
        <w:rPr>
          <w:color w:val="auto"/>
          <w:lang w:val="en-GB"/>
        </w:rPr>
        <w:lastRenderedPageBreak/>
        <w:t>between positive and negative images</w:t>
      </w:r>
      <w:r w:rsidRPr="007A77EF">
        <w:rPr>
          <w:color w:val="auto"/>
          <w:lang w:val="en-GB"/>
        </w:rPr>
        <w:t>, a second level of selection was applied</w:t>
      </w:r>
      <w:r w:rsidR="002B10F6" w:rsidRPr="007A77EF">
        <w:rPr>
          <w:color w:val="auto"/>
          <w:lang w:val="en-GB"/>
        </w:rPr>
        <w:t xml:space="preserve"> after the experimental protocol</w:t>
      </w:r>
      <w:r w:rsidR="00D9079B" w:rsidRPr="007A77EF">
        <w:rPr>
          <w:color w:val="auto"/>
          <w:lang w:val="en-GB"/>
        </w:rPr>
        <w:t xml:space="preserve"> had been completed</w:t>
      </w:r>
      <w:r w:rsidRPr="007A77EF">
        <w:rPr>
          <w:color w:val="auto"/>
          <w:lang w:val="en-GB"/>
        </w:rPr>
        <w:t xml:space="preserve">. </w:t>
      </w:r>
      <w:r w:rsidR="00341B4A" w:rsidRPr="007A77EF">
        <w:rPr>
          <w:color w:val="auto"/>
          <w:lang w:val="en-GB"/>
        </w:rPr>
        <w:t>The valence ratings f</w:t>
      </w:r>
      <w:r w:rsidR="00B12F62" w:rsidRPr="007A77EF">
        <w:rPr>
          <w:color w:val="auto"/>
          <w:lang w:val="en-GB"/>
        </w:rPr>
        <w:t>rom</w:t>
      </w:r>
      <w:r w:rsidR="00341B4A" w:rsidRPr="007A77EF">
        <w:rPr>
          <w:color w:val="auto"/>
          <w:lang w:val="en-GB"/>
        </w:rPr>
        <w:t xml:space="preserve"> each participant were examined individually and only three</w:t>
      </w:r>
      <w:r w:rsidR="00FD79EF" w:rsidRPr="007A77EF">
        <w:rPr>
          <w:color w:val="auto"/>
          <w:lang w:val="en-GB"/>
        </w:rPr>
        <w:t xml:space="preserve"> out of </w:t>
      </w:r>
      <w:r w:rsidRPr="007A77EF">
        <w:rPr>
          <w:color w:val="auto"/>
          <w:lang w:val="en-GB"/>
        </w:rPr>
        <w:t xml:space="preserve">four images that best </w:t>
      </w:r>
      <w:r w:rsidR="00FD79EF" w:rsidRPr="007A77EF">
        <w:rPr>
          <w:color w:val="auto"/>
          <w:lang w:val="en-GB"/>
        </w:rPr>
        <w:t>corresponded</w:t>
      </w:r>
      <w:r w:rsidRPr="007A77EF">
        <w:rPr>
          <w:color w:val="auto"/>
          <w:lang w:val="en-GB"/>
        </w:rPr>
        <w:t xml:space="preserve"> with</w:t>
      </w:r>
      <w:r w:rsidR="00FD79EF" w:rsidRPr="007A77EF">
        <w:rPr>
          <w:color w:val="auto"/>
          <w:lang w:val="en-GB"/>
        </w:rPr>
        <w:t xml:space="preserve"> the</w:t>
      </w:r>
      <w:r w:rsidRPr="007A77EF">
        <w:rPr>
          <w:color w:val="auto"/>
          <w:lang w:val="en-GB"/>
        </w:rPr>
        <w:t xml:space="preserve"> positive and negati</w:t>
      </w:r>
      <w:r w:rsidR="00D62CB6" w:rsidRPr="007A77EF">
        <w:rPr>
          <w:color w:val="auto"/>
          <w:lang w:val="en-GB"/>
        </w:rPr>
        <w:t>ve valence categories</w:t>
      </w:r>
      <w:r w:rsidR="00341B4A" w:rsidRPr="007A77EF">
        <w:rPr>
          <w:color w:val="auto"/>
          <w:lang w:val="en-GB"/>
        </w:rPr>
        <w:t xml:space="preserve"> for both </w:t>
      </w:r>
      <w:r w:rsidR="00341B4A" w:rsidRPr="007A77EF">
        <w:rPr>
          <w:i/>
          <w:color w:val="auto"/>
          <w:lang w:val="en-GB"/>
        </w:rPr>
        <w:t>self</w:t>
      </w:r>
      <w:r w:rsidR="00946414" w:rsidRPr="007A77EF">
        <w:rPr>
          <w:i/>
          <w:color w:val="auto"/>
          <w:lang w:val="en-GB"/>
        </w:rPr>
        <w:t>-</w:t>
      </w:r>
      <w:r w:rsidR="00341B4A" w:rsidRPr="007A77EF">
        <w:rPr>
          <w:color w:val="auto"/>
          <w:lang w:val="en-GB"/>
        </w:rPr>
        <w:t xml:space="preserve"> and </w:t>
      </w:r>
      <w:r w:rsidR="00341B4A" w:rsidRPr="007A77EF">
        <w:rPr>
          <w:i/>
          <w:color w:val="auto"/>
          <w:lang w:val="en-GB"/>
        </w:rPr>
        <w:t>other</w:t>
      </w:r>
      <w:r w:rsidR="00946414" w:rsidRPr="007A77EF">
        <w:rPr>
          <w:i/>
          <w:color w:val="auto"/>
          <w:lang w:val="en-GB"/>
        </w:rPr>
        <w:t>-</w:t>
      </w:r>
      <w:r w:rsidR="00341B4A" w:rsidRPr="007A77EF">
        <w:rPr>
          <w:color w:val="auto"/>
          <w:lang w:val="en-GB"/>
        </w:rPr>
        <w:t>conditions</w:t>
      </w:r>
      <w:r w:rsidR="00D62CB6" w:rsidRPr="007A77EF">
        <w:rPr>
          <w:color w:val="auto"/>
          <w:lang w:val="en-GB"/>
        </w:rPr>
        <w:t xml:space="preserve"> were used;</w:t>
      </w:r>
      <w:r w:rsidRPr="007A77EF">
        <w:rPr>
          <w:color w:val="auto"/>
          <w:lang w:val="en-GB"/>
        </w:rPr>
        <w:t xml:space="preserve"> i.e. the three i</w:t>
      </w:r>
      <w:r w:rsidR="00FD79EF" w:rsidRPr="007A77EF">
        <w:rPr>
          <w:color w:val="auto"/>
          <w:lang w:val="en-GB"/>
        </w:rPr>
        <w:t xml:space="preserve">mages that scored highest </w:t>
      </w:r>
      <w:r w:rsidR="00341B4A" w:rsidRPr="007A77EF">
        <w:rPr>
          <w:color w:val="auto"/>
          <w:lang w:val="en-GB"/>
        </w:rPr>
        <w:t xml:space="preserve">for each participant </w:t>
      </w:r>
      <w:r w:rsidR="00FD79EF" w:rsidRPr="007A77EF">
        <w:rPr>
          <w:color w:val="auto"/>
          <w:lang w:val="en-GB"/>
        </w:rPr>
        <w:t>(</w:t>
      </w:r>
      <w:r w:rsidRPr="007A77EF">
        <w:rPr>
          <w:color w:val="auto"/>
          <w:lang w:val="en-GB"/>
        </w:rPr>
        <w:t>high valence scores = negative valence) in the negative-</w:t>
      </w:r>
      <w:r w:rsidRPr="007A77EF">
        <w:rPr>
          <w:i/>
          <w:iCs/>
          <w:color w:val="auto"/>
          <w:lang w:val="en-GB"/>
        </w:rPr>
        <w:t>self</w:t>
      </w:r>
      <w:r w:rsidRPr="007A77EF">
        <w:rPr>
          <w:color w:val="auto"/>
          <w:lang w:val="en-GB"/>
        </w:rPr>
        <w:t xml:space="preserve"> and negative-</w:t>
      </w:r>
      <w:r w:rsidRPr="007A77EF">
        <w:rPr>
          <w:i/>
          <w:iCs/>
          <w:color w:val="auto"/>
          <w:lang w:val="en-GB"/>
        </w:rPr>
        <w:t>other</w:t>
      </w:r>
      <w:r w:rsidRPr="007A77EF">
        <w:rPr>
          <w:color w:val="auto"/>
          <w:lang w:val="en-GB"/>
        </w:rPr>
        <w:t xml:space="preserve"> condition were used for subsequent analysis and the same procedure was applied to positive images. </w:t>
      </w:r>
      <w:r w:rsidR="0041172F" w:rsidRPr="007A77EF">
        <w:rPr>
          <w:color w:val="auto"/>
          <w:lang w:val="en-GB"/>
        </w:rPr>
        <w:t>Twelve images (</w:t>
      </w:r>
      <w:r w:rsidR="00EB5651" w:rsidRPr="007A77EF">
        <w:rPr>
          <w:color w:val="auto"/>
          <w:lang w:val="en-GB"/>
        </w:rPr>
        <w:t>three</w:t>
      </w:r>
      <w:r w:rsidR="007D0B01" w:rsidRPr="007A77EF">
        <w:rPr>
          <w:color w:val="auto"/>
          <w:lang w:val="en-GB"/>
        </w:rPr>
        <w:t xml:space="preserve"> in</w:t>
      </w:r>
      <w:r w:rsidR="00EB5651" w:rsidRPr="007A77EF">
        <w:rPr>
          <w:color w:val="auto"/>
          <w:lang w:val="en-GB"/>
        </w:rPr>
        <w:t xml:space="preserve"> each of</w:t>
      </w:r>
      <w:r w:rsidR="007D0B01" w:rsidRPr="007A77EF">
        <w:rPr>
          <w:color w:val="auto"/>
          <w:lang w:val="en-GB"/>
        </w:rPr>
        <w:t xml:space="preserve"> PS, NS, PO and NO</w:t>
      </w:r>
      <w:r w:rsidR="0041172F" w:rsidRPr="007A77EF">
        <w:rPr>
          <w:color w:val="auto"/>
          <w:lang w:val="en-GB"/>
        </w:rPr>
        <w:t xml:space="preserve">) </w:t>
      </w:r>
      <w:r w:rsidR="0041405F" w:rsidRPr="007A77EF">
        <w:rPr>
          <w:color w:val="auto"/>
          <w:lang w:val="en-GB"/>
        </w:rPr>
        <w:t xml:space="preserve">for each participant </w:t>
      </w:r>
      <w:r w:rsidR="0041172F" w:rsidRPr="007A77EF">
        <w:rPr>
          <w:color w:val="auto"/>
          <w:lang w:val="en-GB"/>
        </w:rPr>
        <w:t xml:space="preserve">were included </w:t>
      </w:r>
      <w:r w:rsidR="009F3395" w:rsidRPr="007A77EF">
        <w:rPr>
          <w:color w:val="auto"/>
          <w:lang w:val="en-GB"/>
        </w:rPr>
        <w:t xml:space="preserve">in the final </w:t>
      </w:r>
      <w:r w:rsidR="00B12F62" w:rsidRPr="007A77EF">
        <w:rPr>
          <w:color w:val="auto"/>
          <w:lang w:val="en-GB"/>
        </w:rPr>
        <w:t xml:space="preserve">data </w:t>
      </w:r>
      <w:r w:rsidR="009F3395" w:rsidRPr="007A77EF">
        <w:rPr>
          <w:color w:val="auto"/>
          <w:lang w:val="en-GB"/>
        </w:rPr>
        <w:t xml:space="preserve">analysis. </w:t>
      </w:r>
      <w:r w:rsidR="00D62CB6" w:rsidRPr="007A77EF">
        <w:rPr>
          <w:color w:val="auto"/>
          <w:lang w:val="en-GB"/>
        </w:rPr>
        <w:t>This procedure</w:t>
      </w:r>
      <w:r w:rsidR="00FD79EF" w:rsidRPr="007A77EF">
        <w:rPr>
          <w:color w:val="auto"/>
          <w:lang w:val="en-GB"/>
        </w:rPr>
        <w:t xml:space="preserve"> </w:t>
      </w:r>
      <w:r w:rsidR="003E6EF9" w:rsidRPr="007A77EF">
        <w:rPr>
          <w:color w:val="auto"/>
          <w:lang w:val="en-GB"/>
        </w:rPr>
        <w:t xml:space="preserve">attempts to control for </w:t>
      </w:r>
      <w:r w:rsidR="00FD79EF" w:rsidRPr="007A77EF">
        <w:rPr>
          <w:color w:val="auto"/>
          <w:lang w:val="en-GB"/>
        </w:rPr>
        <w:t>individual differences</w:t>
      </w:r>
      <w:r w:rsidR="00D62CB6" w:rsidRPr="007A77EF">
        <w:rPr>
          <w:color w:val="auto"/>
          <w:lang w:val="en-GB"/>
        </w:rPr>
        <w:t xml:space="preserve"> in the </w:t>
      </w:r>
      <w:r w:rsidR="003E6EF9" w:rsidRPr="007A77EF">
        <w:rPr>
          <w:color w:val="auto"/>
          <w:lang w:val="en-GB"/>
        </w:rPr>
        <w:t xml:space="preserve">emotional </w:t>
      </w:r>
      <w:r w:rsidR="00D62CB6" w:rsidRPr="007A77EF">
        <w:rPr>
          <w:color w:val="auto"/>
          <w:lang w:val="en-GB"/>
        </w:rPr>
        <w:t>evaluation of visual art</w:t>
      </w:r>
      <w:r w:rsidR="00FD79EF" w:rsidRPr="007A77EF">
        <w:rPr>
          <w:color w:val="auto"/>
          <w:lang w:val="en-GB"/>
        </w:rPr>
        <w:t xml:space="preserve"> (i.e. </w:t>
      </w:r>
      <w:r w:rsidR="00D62CB6" w:rsidRPr="007A77EF">
        <w:rPr>
          <w:color w:val="auto"/>
          <w:lang w:val="en-GB"/>
        </w:rPr>
        <w:t>there might not be a clear consensus of the</w:t>
      </w:r>
      <w:r w:rsidR="00FD79EF" w:rsidRPr="007A77EF">
        <w:rPr>
          <w:color w:val="auto"/>
          <w:lang w:val="en-GB"/>
        </w:rPr>
        <w:t xml:space="preserve"> negativity</w:t>
      </w:r>
      <w:r w:rsidR="00D62CB6" w:rsidRPr="007A77EF">
        <w:rPr>
          <w:color w:val="auto"/>
          <w:lang w:val="en-GB"/>
        </w:rPr>
        <w:t>/positivity of an image</w:t>
      </w:r>
      <w:r w:rsidR="00FD79EF" w:rsidRPr="007A77EF">
        <w:rPr>
          <w:color w:val="auto"/>
          <w:lang w:val="en-GB"/>
        </w:rPr>
        <w:t xml:space="preserve">) to maximise the </w:t>
      </w:r>
      <w:r w:rsidR="003E6EF9" w:rsidRPr="007A77EF">
        <w:rPr>
          <w:color w:val="auto"/>
          <w:lang w:val="en-GB"/>
        </w:rPr>
        <w:t>differentiation between</w:t>
      </w:r>
      <w:r w:rsidR="00FD79EF" w:rsidRPr="007A77EF">
        <w:rPr>
          <w:color w:val="auto"/>
          <w:lang w:val="en-GB"/>
        </w:rPr>
        <w:t xml:space="preserve"> the positive and negative categories</w:t>
      </w:r>
      <w:r w:rsidR="003E6EF9" w:rsidRPr="007A77EF">
        <w:rPr>
          <w:color w:val="auto"/>
          <w:lang w:val="en-GB"/>
        </w:rPr>
        <w:t xml:space="preserve"> of images</w:t>
      </w:r>
      <w:r w:rsidR="00FD79EF" w:rsidRPr="007A77EF">
        <w:rPr>
          <w:color w:val="auto"/>
          <w:lang w:val="en-GB"/>
        </w:rPr>
        <w:t>.</w:t>
      </w:r>
    </w:p>
    <w:p w14:paraId="581CE838" w14:textId="416EC210" w:rsidR="00C8548E" w:rsidRPr="007A77EF" w:rsidRDefault="007A77EF" w:rsidP="00B93EE2">
      <w:pPr>
        <w:pStyle w:val="BodyA"/>
        <w:spacing w:line="480" w:lineRule="auto"/>
        <w:rPr>
          <w:color w:val="auto"/>
          <w:lang w:val="en-GB"/>
        </w:rPr>
      </w:pPr>
      <w:r w:rsidRPr="007A77EF">
        <w:rPr>
          <w:color w:val="auto"/>
          <w:lang w:val="en-GB"/>
        </w:rPr>
        <w:t xml:space="preserve">2.5 </w:t>
      </w:r>
      <w:r w:rsidR="00D42BF3" w:rsidRPr="007A77EF">
        <w:rPr>
          <w:color w:val="auto"/>
          <w:lang w:val="en-GB"/>
        </w:rPr>
        <w:t>fNIRS</w:t>
      </w:r>
      <w:r w:rsidR="00CB2B4E" w:rsidRPr="007A77EF">
        <w:rPr>
          <w:color w:val="auto"/>
          <w:lang w:val="en-GB"/>
        </w:rPr>
        <w:t xml:space="preserve"> data collection</w:t>
      </w:r>
    </w:p>
    <w:p w14:paraId="6805A14E" w14:textId="2BCBF8CE" w:rsidR="00C8548E" w:rsidRPr="007A77EF" w:rsidRDefault="00CB2B4E" w:rsidP="00B93EE2">
      <w:pPr>
        <w:pStyle w:val="BodyA"/>
        <w:spacing w:line="480" w:lineRule="auto"/>
        <w:rPr>
          <w:color w:val="auto"/>
          <w:lang w:val="en-GB"/>
        </w:rPr>
      </w:pPr>
      <w:r w:rsidRPr="007A77EF">
        <w:rPr>
          <w:color w:val="auto"/>
          <w:lang w:val="en-GB"/>
        </w:rPr>
        <w:tab/>
      </w:r>
      <w:r w:rsidR="00D42BF3" w:rsidRPr="007A77EF">
        <w:rPr>
          <w:color w:val="auto"/>
          <w:lang w:val="en-GB"/>
        </w:rPr>
        <w:t>fNIRS</w:t>
      </w:r>
      <w:r w:rsidR="00320D49" w:rsidRPr="007A77EF">
        <w:rPr>
          <w:color w:val="auto"/>
          <w:lang w:val="en-GB"/>
        </w:rPr>
        <w:t xml:space="preserve"> </w:t>
      </w:r>
      <w:r w:rsidR="00A459FA" w:rsidRPr="007A77EF">
        <w:rPr>
          <w:color w:val="auto"/>
          <w:lang w:val="en-GB"/>
        </w:rPr>
        <w:t xml:space="preserve">was </w:t>
      </w:r>
      <w:r w:rsidRPr="007A77EF">
        <w:rPr>
          <w:color w:val="auto"/>
          <w:lang w:val="en-GB"/>
        </w:rPr>
        <w:t>used to record haemoglobin changes using fNIR Imager1000 and COBI data collection suit</w:t>
      </w:r>
      <w:r w:rsidR="0032121A" w:rsidRPr="007A77EF">
        <w:rPr>
          <w:color w:val="auto"/>
          <w:lang w:val="en-GB"/>
        </w:rPr>
        <w:t xml:space="preserve">e (Biopac System Inc) </w:t>
      </w:r>
      <w:r w:rsidRPr="007A77EF">
        <w:rPr>
          <w:color w:val="auto"/>
          <w:lang w:val="en-GB"/>
        </w:rPr>
        <w:t>which is described in detail elsewhere</w:t>
      </w:r>
      <w:r w:rsidR="00C26F40" w:rsidRPr="007A77EF">
        <w:rPr>
          <w:color w:val="auto"/>
          <w:lang w:val="en-GB"/>
        </w:rPr>
        <w:t xml:space="preserve"> </w:t>
      </w:r>
      <w:r w:rsidR="00C26F40" w:rsidRPr="007A77EF">
        <w:rPr>
          <w:color w:val="auto"/>
          <w:lang w:val="en-GB"/>
        </w:rPr>
        <w:fldChar w:fldCharType="begin" w:fldLock="1"/>
      </w:r>
      <w:r w:rsidR="000C06E2" w:rsidRPr="007A77EF">
        <w:rPr>
          <w:color w:val="auto"/>
          <w:lang w:val="en-GB"/>
        </w:rPr>
        <w:instrText>ADDIN CSL_CITATION { "citationItems" : [ { "id" : "ITEM-1", "itemData" : { "DOI" : "10.3791/3443", "ISSN" : "1940-087X", "PMID" : "22005455", "abstract" : "MazeSuite is a complete toolset to prepare, present and analyze navigational and spatial experiments. MazeSuite can be used to design and edit adapted virtual 3D environments, track a participants' behavioral performance within the virtual environment and synchronize with external devices for physiological and neuroimaging measures, including electroencephalogram and eye tracking. Functional near-infrared spectroscopy (fNIR) is an optical brain imaging technique that enables continuous, noninvasive, and portable monitoring of changes in cerebral blood oxygenation related to human brain functions. Over the last decade fNIR is used to effectively monitor cognitive tasks such as attention, working memory and problem solving. fNIR can be implemented in the form of a wearable and minimally intrusive device; it has the capacity to monitor brain activity in ecologically valid environments. Cognitive functions assessed through task performance involve patterns of brain activation of the prefrontal cortex (PFC) that vary from the initial novel task performance, after practice and during retention. Using positron emission tomography (PET), Van Horn and colleagues found that regional cerebral blood flow was activated in the right frontal lobe during the encoding (i.e., initial na\u00efve performance) of spatial navigation of virtual mazes while there was little to no activation of the frontal regions after practice and during retention tests. Furthermore, the effects of contextual interference, a learning phenomenon related to organization of practice, are evident when individuals acquire multiple tasks under different practice schedules. High contextual interference (random practice schedule) is created when the tasks to be learned are presented in a non-sequential, unpredictable order. Low contextual interference (blocked practice schedule) is created when the tasks to be learned are presented in a predictable order. Our goal here is twofold: first to illustrate the experimental protocol design process and the use of MazeSuite, and second, to demonstrate the setup and deployment of the fNIR brain activity monitoring system using Cognitive Optical Brain Imaging (COBI) Studio software. To illustrate our goals, a subsample from a study is reported to show the use of both MazeSuite and COBI Studio in a single experiment. The study involves the assessment of cognitive activity of the PFC during the acquisition and learning of computer maze tasks for blocked and random ord\u2026", "author" : [ { "dropping-particle" : "", "family" : "Ayaz", "given" : "Hasan", "non-dropping-particle" : "", "parse-names" : false, "suffix" : "" }, { "dropping-particle" : "", "family" : "Shewokis", "given" : "Patricia A", "non-dropping-particle" : "", "parse-names" : false, "suffix" : "" }, { "dropping-particle" : "", "family" : "Curtin", "given" : "Adrian", "non-dropping-particle" : "", "parse-names" : false, "suffix" : "" }, { "dropping-particle" : "", "family" : "Izzetoglu", "given" : "Meltem", "non-dropping-particle" : "", "parse-names" : false, "suffix" : "" }, { "dropping-particle" : "", "family" : "Izzetoglu", "given" : "Kurtulus", "non-dropping-particle" : "", "parse-names" : false, "suffix" : "" }, { "dropping-particle" : "", "family" : "Onaral", "given" : "Banu", "non-dropping-particle" : "", "parse-names" : false, "suffix" : "" } ], "container-title" : "Journal of visualized experiments : JoVE", "id" : "ITEM-1", "issue" : "56", "issued" : { "date-parts" : [ [ "2011", "1" ] ] }, "title" : "Using MazeSuite and functional near infrared spectroscopy to study learning in spatial navigation.", "type" : "article-journal" }, "uris" : [ "http://www.mendeley.com/documents/?uuid=700e1a14-9503-4371-868e-1f5706c45a30" ] } ], "mendeley" : { "formattedCitation" : "(Ayaz et al., 2011)", "plainTextFormattedCitation" : "(Ayaz et al., 2011)", "previouslyFormattedCitation" : "(Ayaz et al., 2011)" }, "properties" : { "noteIndex" : 0 }, "schema" : "https://github.com/citation-style-language/schema/raw/master/csl-citation.json" }</w:instrText>
      </w:r>
      <w:r w:rsidR="00C26F40" w:rsidRPr="007A77EF">
        <w:rPr>
          <w:color w:val="auto"/>
          <w:lang w:val="en-GB"/>
        </w:rPr>
        <w:fldChar w:fldCharType="separate"/>
      </w:r>
      <w:r w:rsidR="00B57899" w:rsidRPr="007A77EF">
        <w:rPr>
          <w:noProof/>
          <w:color w:val="auto"/>
          <w:lang w:val="en-GB"/>
        </w:rPr>
        <w:t>(Ayaz et al., 2011)</w:t>
      </w:r>
      <w:r w:rsidR="00C26F40" w:rsidRPr="007A77EF">
        <w:rPr>
          <w:color w:val="auto"/>
          <w:lang w:val="en-GB"/>
        </w:rPr>
        <w:fldChar w:fldCharType="end"/>
      </w:r>
      <w:r w:rsidRPr="007A77EF">
        <w:rPr>
          <w:color w:val="auto"/>
          <w:lang w:val="en-GB"/>
        </w:rPr>
        <w:t>. The system</w:t>
      </w:r>
      <w:r w:rsidR="00FD316C" w:rsidRPr="007A77EF">
        <w:rPr>
          <w:color w:val="auto"/>
          <w:lang w:val="en-GB"/>
        </w:rPr>
        <w:t xml:space="preserve"> is a continuous </w:t>
      </w:r>
      <w:r w:rsidR="00D42BF3" w:rsidRPr="007A77EF">
        <w:rPr>
          <w:color w:val="auto"/>
          <w:lang w:val="en-GB"/>
        </w:rPr>
        <w:t>fNIRS</w:t>
      </w:r>
      <w:r w:rsidR="00FD316C" w:rsidRPr="007A77EF">
        <w:rPr>
          <w:color w:val="auto"/>
          <w:lang w:val="en-GB"/>
        </w:rPr>
        <w:t xml:space="preserve"> device that</w:t>
      </w:r>
      <w:r w:rsidRPr="007A77EF">
        <w:rPr>
          <w:color w:val="auto"/>
          <w:lang w:val="en-GB"/>
        </w:rPr>
        <w:t xml:space="preserve"> has a temporal resolution of </w:t>
      </w:r>
      <w:r w:rsidR="0032121A" w:rsidRPr="007A77EF">
        <w:rPr>
          <w:color w:val="auto"/>
          <w:lang w:val="en-GB"/>
        </w:rPr>
        <w:t>2Hz</w:t>
      </w:r>
      <w:r w:rsidR="00FD316C" w:rsidRPr="007A77EF">
        <w:rPr>
          <w:color w:val="auto"/>
          <w:lang w:val="en-GB"/>
        </w:rPr>
        <w:t xml:space="preserve"> and calculates haemoglobin changes according to a baseline taken before the stimulus onset</w:t>
      </w:r>
      <w:r w:rsidRPr="007A77EF">
        <w:rPr>
          <w:color w:val="auto"/>
          <w:lang w:val="en-GB"/>
        </w:rPr>
        <w:t>. The 16</w:t>
      </w:r>
      <w:r w:rsidR="00B12F62" w:rsidRPr="007A77EF">
        <w:rPr>
          <w:color w:val="auto"/>
          <w:lang w:val="en-GB"/>
        </w:rPr>
        <w:t>-</w:t>
      </w:r>
      <w:r w:rsidRPr="007A77EF">
        <w:rPr>
          <w:color w:val="auto"/>
          <w:lang w:val="en-GB"/>
        </w:rPr>
        <w:t>channel probe was placed on the forehead aligned to Fp1 and Fp2 of the international 10-20 system, and rotated so that Fpz corresponded to the midpoint of the probe</w:t>
      </w:r>
      <w:r w:rsidR="00C26F40" w:rsidRPr="007A77EF">
        <w:rPr>
          <w:color w:val="auto"/>
          <w:lang w:val="en-GB"/>
        </w:rPr>
        <w:t xml:space="preserve"> </w:t>
      </w:r>
      <w:r w:rsidR="00C26F40" w:rsidRPr="007A77EF">
        <w:rPr>
          <w:color w:val="auto"/>
          <w:lang w:val="en-GB"/>
        </w:rPr>
        <w:fldChar w:fldCharType="begin" w:fldLock="1"/>
      </w:r>
      <w:r w:rsidR="000C06E2" w:rsidRPr="007A77EF">
        <w:rPr>
          <w:color w:val="auto"/>
          <w:lang w:val="en-GB"/>
        </w:rPr>
        <w:instrText>ADDIN CSL_CITATION { "citationItems" : [ { "id" : "ITEM-1", "itemData" : { "DOI" : "10.1109/IEMBS.2006.260835", "ISBN" : "1424400333", "ISSN" : "1557-170X", "PMID" : "17946973", "abstract" : "Functional near-infrared spectroscopy (fNIR) measures changes in the relative levels of oxygenated and deoxygenated hemoglobin and has increasingly been used to assess neural functioning in the brain. In addition to the ongoing technological developments, investigators have also been conducting studies on functional mapping and refinement of data analytic strategies in order to better understand the relationship between the fNIR signal and brain activity. However, since fNIR is a relatively new functional brain imaging modality as compared to positron emission tomography (PET) and functional magnetic resonance imaging (fMRI), it still lacks brain-mapping tools designed to allow researchers and clinicians to easily interact with their data. The aim of this study is to develop a registration technique for the fNIR measurements using anatomical landmarks and structural magnetic resonance imaging (MRI) templates in order to visualize the brain activation when and where it happens. The proposed registration technique utilizes chain-code algorithm and depicts activations over respective locations based on sensor geometry. Furthermore, registered data locations have been used to create spatiotemporal visualization of fNIR measurements.", "author" : [ { "dropping-particle" : "", "family" : "Ayaz", "given" : "Hasan", "non-dropping-particle" : "", "parse-names" : false, "suffix" : "" }, { "dropping-particle" : "", "family" : "Izzetoglu", "given" : "Meltem", "non-dropping-particle" : "", "parse-names" : false, "suffix" : "" }, { "dropping-particle" : "", "family" : "Platek", "given" : "Steven M", "non-dropping-particle" : "", "parse-names" : false, "suffix" : "" }, { "dropping-particle" : "", "family" : "Bunce", "given" : "Scott", "non-dropping-particle" : "", "parse-names" : false, "suffix" : "" }, { "dropping-particle" : "", "family" : "Izzetoglu", "given" : "Kurtulus", "non-dropping-particle" : "", "parse-names" : false, "suffix" : "" }, { "dropping-particle" : "", "family" : "Pourrezaei", "given" : "Kambiz", "non-dropping-particle" : "", "parse-names" : false, "suffix" : "" }, { "dropping-particle" : "", "family" : "Onaral", "given" : "Banu", "non-dropping-particle" : "", "parse-names" : false, "suffix" : "" } ], "container-title" : "Conference proceedings : ... Annual International Conference of the IEEE Engineering in Medicine and Biology Society. IEEE Engineering in Medicine and Biology Society. Conference", "id" : "ITEM-1", "issued" : { "date-parts" : [ [ "2006", "1" ] ] }, "page" : "2671-4", "title" : "Registering fNIR data to brain surface image using MRI templates.", "type" : "article-journal", "volume" : "1" }, "uris" : [ "http://www.mendeley.com/documents/?uuid=eb5e5571-ab4d-4be3-902d-3f2761c5573b" ] } ], "mendeley" : { "formattedCitation" : "(Ayaz et al., 2006)", "plainTextFormattedCitation" : "(Ayaz et al., 2006)", "previouslyFormattedCitation" : "(Ayaz et al., 2006)" }, "properties" : { "noteIndex" : 0 }, "schema" : "https://github.com/citation-style-language/schema/raw/master/csl-citation.json" }</w:instrText>
      </w:r>
      <w:r w:rsidR="00C26F40" w:rsidRPr="007A77EF">
        <w:rPr>
          <w:color w:val="auto"/>
          <w:lang w:val="en-GB"/>
        </w:rPr>
        <w:fldChar w:fldCharType="separate"/>
      </w:r>
      <w:r w:rsidR="00B57899" w:rsidRPr="007A77EF">
        <w:rPr>
          <w:noProof/>
          <w:color w:val="auto"/>
          <w:lang w:val="en-GB"/>
        </w:rPr>
        <w:t>(Ayaz et al., 2006)</w:t>
      </w:r>
      <w:r w:rsidR="00C26F40" w:rsidRPr="007A77EF">
        <w:rPr>
          <w:color w:val="auto"/>
          <w:lang w:val="en-GB"/>
        </w:rPr>
        <w:fldChar w:fldCharType="end"/>
      </w:r>
      <w:r w:rsidRPr="007A77EF">
        <w:rPr>
          <w:color w:val="auto"/>
          <w:lang w:val="en-GB"/>
        </w:rPr>
        <w:t xml:space="preserve"> (</w:t>
      </w:r>
      <w:r w:rsidR="002A515F" w:rsidRPr="007A77EF">
        <w:rPr>
          <w:color w:val="auto"/>
          <w:lang w:val="en-GB"/>
        </w:rPr>
        <w:t>Fig.</w:t>
      </w:r>
      <w:r w:rsidR="0073652B" w:rsidRPr="007A77EF">
        <w:rPr>
          <w:color w:val="auto"/>
          <w:lang w:val="en-GB"/>
        </w:rPr>
        <w:t xml:space="preserve"> </w:t>
      </w:r>
      <w:r w:rsidRPr="007A77EF">
        <w:rPr>
          <w:color w:val="auto"/>
          <w:lang w:val="en-GB"/>
        </w:rPr>
        <w:t xml:space="preserve">3). Areas underlying the 16 </w:t>
      </w:r>
      <w:r w:rsidR="0032121A" w:rsidRPr="007A77EF">
        <w:rPr>
          <w:color w:val="auto"/>
          <w:lang w:val="en-GB"/>
        </w:rPr>
        <w:t>channel</w:t>
      </w:r>
      <w:r w:rsidRPr="007A77EF">
        <w:rPr>
          <w:color w:val="auto"/>
          <w:lang w:val="en-GB"/>
        </w:rPr>
        <w:t xml:space="preserve">s are right and left superior and inferior frontal gyrii (BA10 and BA46). Cognitive and emotional functions associated with BA10 and BA46 have been </w:t>
      </w:r>
      <w:r w:rsidRPr="007A77EF">
        <w:rPr>
          <w:rFonts w:hAnsi="Times New Roman" w:cs="Times New Roman"/>
          <w:color w:val="auto"/>
          <w:lang w:val="en-GB"/>
        </w:rPr>
        <w:t xml:space="preserve">explored in previous work using a similar </w:t>
      </w:r>
      <w:r w:rsidR="00D42BF3" w:rsidRPr="007A77EF">
        <w:rPr>
          <w:rFonts w:hAnsi="Times New Roman" w:cs="Times New Roman"/>
          <w:color w:val="auto"/>
          <w:lang w:val="en-GB"/>
        </w:rPr>
        <w:t>fNIRS</w:t>
      </w:r>
      <w:r w:rsidRPr="007A77EF">
        <w:rPr>
          <w:rFonts w:hAnsi="Times New Roman" w:cs="Times New Roman"/>
          <w:color w:val="auto"/>
          <w:lang w:val="en-GB"/>
        </w:rPr>
        <w:t xml:space="preserve"> device</w:t>
      </w:r>
      <w:r w:rsidR="00C26F40" w:rsidRPr="007A77EF">
        <w:rPr>
          <w:rFonts w:hAnsi="Times New Roman" w:cs="Times New Roman"/>
          <w:color w:val="auto"/>
          <w:lang w:val="en-GB"/>
        </w:rPr>
        <w:t xml:space="preserve"> </w:t>
      </w:r>
      <w:r w:rsidR="00C26F40" w:rsidRPr="007A77EF">
        <w:rPr>
          <w:rFonts w:hAnsi="Times New Roman" w:cs="Times New Roman"/>
          <w:color w:val="auto"/>
          <w:lang w:val="en-GB"/>
        </w:rPr>
        <w:fldChar w:fldCharType="begin" w:fldLock="1"/>
      </w:r>
      <w:r w:rsidR="000C06E2" w:rsidRPr="007A77EF">
        <w:rPr>
          <w:rFonts w:hAnsi="Times New Roman" w:cs="Times New Roman"/>
          <w:color w:val="auto"/>
          <w:lang w:val="en-GB"/>
        </w:rPr>
        <w:instrText>ADDIN CSL_CITATION { "citationItems" : [ { "id" : "ITEM-1", "itemData" : { "DOI" : "10.1016/j.bbr.2008.06.013", "ISSN" : "0166-4328", "PMID" : "18606191", "abstract" : "The purpose of this study was to establish the relationship between the hemodynamic response of prefrontal cortex (PFC) and individual differences in cognitive control, as measured by a color-word interference task. Twenty-five healthy volunteers were observed through functional near infrared spectroscopy (fNIRS) while performing a modified Stroop paradigm. Mean concentration levels of oxygenated hemoglobin (oxy-Hb) were correlated with behavioral performance in the conflict task. Those with shorter reaction times had higher levels of oxy-Hb concentration in superior dorsolateral PFC. Our results are the first to show a positive correlation between behavioral performance and oxy-Hb levels in superior dorsolateral PFC in a cognitive conflict task. These results suggest that the availability of oxygen in the superior PFC, possibly linked to an increase in metabolism, may be related to attention level and effectiveness of cognitive control.", "author" : [ { "dropping-particle" : "", "family" : "Le\u00f3n-Carrion", "given" : "Jos\u00e9", "non-dropping-particle" : "", "parse-names" : false, "suffix" : "" }, { "dropping-particle" : "", "family" : "Damas-L\u00f3pez", "given" : "Jes\u00fas", "non-dropping-particle" : "", "parse-names" : false, "suffix" : "" }, { "dropping-particle" : "", "family" : "Mart\u00edn-Rodr\u00edguez", "given" : "Juan Francisco", "non-dropping-particle" : "", "parse-names" : false, "suffix" : "" }, { "dropping-particle" : "", "family" : "Dom\u00ednguez-Rold\u00e1n", "given" : "Jos\u00e9 Maria", "non-dropping-particle" : "", "parse-names" : false, "suffix" : "" }, { "dropping-particle" : "", "family" : "Murillo-Cabezas", "given" : "Francisco", "non-dropping-particle" : "", "parse-names" : false, "suffix" : "" }, { "dropping-particle" : "", "family" : "Barroso Y Martin", "given" : "Juan Manuel", "non-dropping-particle" : "", "parse-names" : false, "suffix" : "" }, { "dropping-particle" : "", "family" : "Dom\u00ednguez-Morales", "given" : "M Rosario", "non-dropping-particle" : "", "parse-names" : false, "suffix" : "" } ], "container-title" : "Behavioural brain research", "id" : "ITEM-1", "issue" : "2", "issued" : { "date-parts" : [ [ "2008", "11", "21" ] ] }, "page" : "248-56", "title" : "The hemodynamics of cognitive control: the level of concentration of oxygenated hemoglobin in the superior prefrontal cortex varies as a function of performance in a modified Stroop task.", "type" : "article-journal", "volume" : "193" }, "uris" : [ "http://www.mendeley.com/documents/?uuid=f506fa72-5ffd-4af9-88e6-fd5ebee6be48" ] }, { "id" : "ITEM-2", "itemData" : { "DOI" : "10.1016/j.neulet.2007.04.087", "ISSN" : "0304-3940", "PMID" : "17601668", "abstract" : "This paper introduces a new paradigm in the study of emotional processes through functional neuroimaging. We study whether the valence and arousal of visual stimuli influence neuroimaging of the evoked hemodynamic changes. Using functional near-infrared spectroscopy (fNIRS), we investigate evoked-cerebral blood oxygenation (CBO) changes in dorsolateral prefrontal cortex (DLPFC) during direct exposure to different emotion-eliciting stimuli ('on' period), and during the period directly following stimulus cessation ('off' period). We hypothesize that the evoked-CBO, rather than return to baseline after stimulus cessation, would show either overshoot or undershoot. The study includes 30 healthy subjects and a total of 9 stimuli, which consist of video-clips with different emotional content. The total sample of trials studied (270) is classified according to the valence and arousal ratings given by the subjects. Results show a more robust activation in DLPFC during the 'off' period than during the 'on' period, depending on the subjective degree of arousal given to the stimulus. Our findings provide the first fNIRS evidence showing that an increment in subjective arousal leads to activation in DLPFC which persists after stimulus cessation and this does not occur with non-arousing stimuli. Neuroimaging studies must consider the duration and affective dimensions of the stimulus as well as the duration of the scanning to specify how much of the recorded response is analyzed. Not accounting for this difference may contribute to confusion in the data interpretation.", "author" : [ { "dropping-particle" : "", "family" : "Le\u00f3n-Carri\u00f3n", "given" : "Jose", "non-dropping-particle" : "", "parse-names" : false, "suffix" : "" }, { "dropping-particle" : "", "family" : "Mart\u00edn-Rodr\u00edguez", "given" : "Juan Francisco", "non-dropping-particle" : "", "parse-names" : false, "suffix" : "" }, { "dropping-particle" : "", "family" : "Damas-L\u00f3pez", "given" : "Jes\u00fas", "non-dropping-particle" : "", "parse-names" : false, "suffix" : "" }, { "dropping-particle" : "", "family" : "Pourrezai", "given" : "Kambiz", "non-dropping-particle" : "", "parse-names" : false, "suffix" : "" }, { "dropping-particle" : "", "family" : "Izzetoglu", "given" : "Kurtulus", "non-dropping-particle" : "", "parse-names" : false, "suffix" : "" }, { "dropping-particle" : "", "family" : "Barroso y Martin", "given" : "Juan Manuel", "non-dropping-particle" : "", "parse-names" : false, "suffix" : "" }, { "dropping-particle" : "", "family" : "Dom\u00ednguez-Morales", "given" : "Mar\u00eda Rosario", "non-dropping-particle" : "", "parse-names" : false, "suffix" : "" } ], "container-title" : "Neuroscience letters", "id" : "ITEM-2", "issue" : "3", "issued" : { "date-parts" : [ [ "2007", "7", "18" ] ] }, "page" : "147-52", "title" : "A lasting post-stimulus activation on dorsolateral prefrontal cortex is produced when processing valence and arousal in visual affective stimuli.", "type" : "article-journal", "volume" : "422" }, "uris" : [ "http://www.mendeley.com/documents/?uuid=1ca9d599-349d-49f6-b08d-4f9186c833d5" ] }, { "id" : "ITEM-3", "itemData" : { "DOI" : "10.1016/j.neuroimage.2005.12.008", "ISSN" : "1053-8119", "PMID" : "16446104", "abstract" : "The purpose of the present study was to investigate the retest reliability of event-related functional near-infrared spectroscopy (fNIRS). Therefore, isolated functional activation was evoked in the occipital cortex by a periodic checkerboard stimulation. During a 52-channel fNIRS recording, 12 subjects underwent 60 trials of visual stimulation in two sessions. The retest interval was set to 3 weeks. Linear correlations of the contrast t values supplemented by scatter plots, channel-wise intraclass correlation coefficients (ICC) as well as reproducibility indices for the quantity of activated channels (RQUANTITY) and the location (ROVERLAP) of the detected activation were calculated. The results at the group level showed good reliability in terms of the single measure ICCs (up to 0.84) and excellent reproducibility quantified by RQUANTITY and ROVERLAP (up to 96% of the quantity and the location were reproducible), whereas the results at the single subjects' level were mediocre. Furthermore, the reliability assessed by single measurement ICCs improved if regarded at a cluster level.", "author" : [ { "dropping-particle" : "", "family" : "Plichta", "given" : "M M", "non-dropping-particle" : "", "parse-names" : false, "suffix" : "" }, { "dropping-particle" : "", "family" : "Herrmann", "given" : "M J", "non-dropping-particle" : "", "parse-names" : false, "suffix" : "" }, { "dropping-particle" : "", "family" : "Baehne", "given" : "C G", "non-dropping-particle" : "", "parse-names" : false, "suffix" : "" }, { "dropping-particle" : "", "family" : "Ehlis", "given" : "A-C", "non-dropping-particle" : "", "parse-names" : false, "suffix" : "" }, { "dropping-particle" : "", "family" : "Richter", "given" : "M M", "non-dropping-particle" : "", "parse-names" : false, "suffix" : "" }, { "dropping-particle" : "", "family" : "Pauli", "given" : "P", "non-dropping-particle" : "", "parse-names" : false, "suffix" : "" }, { "dropping-particle" : "", "family" : "Fallgatter", "given" : "A J", "non-dropping-particle" : "", "parse-names" : false, "suffix" : "" } ], "container-title" : "NeuroImage", "id" : "ITEM-3", "issue" : "1", "issued" : { "date-parts" : [ [ "2006", "5", "15" ] ] }, "page" : "116-24", "title" : "Event-related functional near-infrared spectroscopy (fNIRS): are the measurements reliable?", "type" : "article-journal", "volume" : "31" }, "uris" : [ "http://www.mendeley.com/documents/?uuid=101c29d5-7450-4502-b1d2-7af32e0abdbb" ] } ], "mendeley" : { "formattedCitation" : "(Le\u00f3n-Carrion et al., 2008; Le\u00f3n-Carri\u00f3n et al., 2007; Plichta et al., 2006)", "plainTextFormattedCitation" : "(Le\u00f3n-Carrion et al., 2008; Le\u00f3n-Carri\u00f3n et al., 2007; Plichta et al., 2006)", "previouslyFormattedCitation" : "(Le\u00f3n-Carrion et al., 2008; Le\u00f3n-Carri\u00f3n et al., 2007; Plichta et al., 2006)" }, "properties" : { "noteIndex" : 0 }, "schema" : "https://github.com/citation-style-language/schema/raw/master/csl-citation.json" }</w:instrText>
      </w:r>
      <w:r w:rsidR="00C26F40" w:rsidRPr="007A77EF">
        <w:rPr>
          <w:rFonts w:hAnsi="Times New Roman" w:cs="Times New Roman"/>
          <w:color w:val="auto"/>
          <w:lang w:val="en-GB"/>
        </w:rPr>
        <w:fldChar w:fldCharType="separate"/>
      </w:r>
      <w:r w:rsidR="00C26F40" w:rsidRPr="007A77EF">
        <w:rPr>
          <w:rFonts w:hAnsi="Times New Roman" w:cs="Times New Roman"/>
          <w:noProof/>
          <w:color w:val="auto"/>
          <w:lang w:val="en-GB"/>
        </w:rPr>
        <w:t>(León-Carrion et al., 2008; León-Carrión et al., 2007; Plichta et al., 2006)</w:t>
      </w:r>
      <w:r w:rsidR="00C26F40" w:rsidRPr="007A77EF">
        <w:rPr>
          <w:rFonts w:hAnsi="Times New Roman" w:cs="Times New Roman"/>
          <w:color w:val="auto"/>
          <w:lang w:val="en-GB"/>
        </w:rPr>
        <w:fldChar w:fldCharType="end"/>
      </w:r>
      <w:r w:rsidRPr="007A77EF">
        <w:rPr>
          <w:rFonts w:hAnsi="Times New Roman" w:cs="Times New Roman"/>
          <w:color w:val="auto"/>
          <w:lang w:val="en-GB"/>
        </w:rPr>
        <w:t>.</w:t>
      </w:r>
    </w:p>
    <w:p w14:paraId="3B0A1BEE" w14:textId="77777777" w:rsidR="00C8548E" w:rsidRPr="007A77EF" w:rsidRDefault="00C8548E" w:rsidP="00B93EE2">
      <w:pPr>
        <w:pStyle w:val="BodyA"/>
        <w:spacing w:line="480" w:lineRule="auto"/>
        <w:rPr>
          <w:color w:val="auto"/>
          <w:lang w:val="en-GB"/>
        </w:rPr>
      </w:pPr>
    </w:p>
    <w:p w14:paraId="096FF2B9" w14:textId="07C70301" w:rsidR="00B55202" w:rsidRPr="007A77EF" w:rsidRDefault="00382A95" w:rsidP="00B93EE2">
      <w:pPr>
        <w:pStyle w:val="BodyA"/>
        <w:spacing w:line="480" w:lineRule="auto"/>
        <w:jc w:val="center"/>
        <w:rPr>
          <w:color w:val="auto"/>
          <w:lang w:val="en-GB"/>
        </w:rPr>
      </w:pPr>
      <w:r w:rsidRPr="007A77EF">
        <w:rPr>
          <w:rFonts w:hAnsi="Times New Roman" w:cs="Times New Roman"/>
          <w:noProof/>
          <w:color w:val="auto"/>
          <w:sz w:val="16"/>
          <w:szCs w:val="16"/>
          <w:lang w:eastAsia="en-US"/>
        </w:rPr>
        <w:lastRenderedPageBreak/>
        <w:drawing>
          <wp:inline distT="0" distB="0" distL="0" distR="0" wp14:anchorId="78CAE945" wp14:editId="4D78A516">
            <wp:extent cx="3230014" cy="267194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mp"/>
                    <pic:cNvPicPr/>
                  </pic:nvPicPr>
                  <pic:blipFill>
                    <a:blip r:embed="rId12">
                      <a:extLst>
                        <a:ext uri="{28A0092B-C50C-407E-A947-70E740481C1C}">
                          <a14:useLocalDpi xmlns:a14="http://schemas.microsoft.com/office/drawing/2010/main" val="0"/>
                        </a:ext>
                      </a:extLst>
                    </a:blip>
                    <a:stretch>
                      <a:fillRect/>
                    </a:stretch>
                  </pic:blipFill>
                  <pic:spPr>
                    <a:xfrm>
                      <a:off x="0" y="0"/>
                      <a:ext cx="3238958" cy="2679346"/>
                    </a:xfrm>
                    <a:prstGeom prst="rect">
                      <a:avLst/>
                    </a:prstGeom>
                  </pic:spPr>
                </pic:pic>
              </a:graphicData>
            </a:graphic>
          </wp:inline>
        </w:drawing>
      </w:r>
    </w:p>
    <w:p w14:paraId="70EFB628" w14:textId="743540F4" w:rsidR="008655DE" w:rsidRPr="007A77EF" w:rsidRDefault="008655DE" w:rsidP="008655DE">
      <w:pPr>
        <w:pStyle w:val="BodyA"/>
        <w:spacing w:line="480" w:lineRule="auto"/>
        <w:rPr>
          <w:rFonts w:ascii="Times New Roman Bold" w:eastAsia="Times New Roman Bold" w:hAnsi="Times New Roman Bold" w:cs="Times New Roman Bold"/>
          <w:color w:val="auto"/>
        </w:rPr>
      </w:pPr>
      <w:r w:rsidRPr="007A77EF">
        <w:rPr>
          <w:rFonts w:ascii="Times New Roman Bold"/>
          <w:color w:val="auto"/>
        </w:rPr>
        <w:t xml:space="preserve">Figure 3. The 16 channels of the </w:t>
      </w:r>
      <w:r w:rsidR="00D42BF3" w:rsidRPr="007A77EF">
        <w:rPr>
          <w:rFonts w:ascii="Times New Roman Bold"/>
          <w:color w:val="auto"/>
        </w:rPr>
        <w:t>fNIRS</w:t>
      </w:r>
      <w:r w:rsidRPr="007A77EF">
        <w:rPr>
          <w:rFonts w:ascii="Times New Roman Bold"/>
          <w:color w:val="auto"/>
        </w:rPr>
        <w:t xml:space="preserve"> probe located over the rostral PFC</w:t>
      </w:r>
      <w:proofErr w:type="gramStart"/>
      <w:r w:rsidRPr="007A77EF">
        <w:rPr>
          <w:rFonts w:ascii="Times New Roman Bold"/>
          <w:color w:val="auto"/>
        </w:rPr>
        <w:t>.  Boxes</w:t>
      </w:r>
      <w:proofErr w:type="gramEnd"/>
      <w:r w:rsidRPr="007A77EF">
        <w:rPr>
          <w:rFonts w:ascii="Times New Roman Bold"/>
          <w:color w:val="auto"/>
        </w:rPr>
        <w:t xml:space="preserve"> indicate 4 Regions Of Interest (ROI) used in subsequent analyses.</w:t>
      </w:r>
    </w:p>
    <w:p w14:paraId="25C3FBEC" w14:textId="77777777" w:rsidR="00C8548E" w:rsidRPr="007A77EF" w:rsidRDefault="00C8548E" w:rsidP="00B93EE2">
      <w:pPr>
        <w:pStyle w:val="BodyA"/>
        <w:spacing w:line="480" w:lineRule="auto"/>
        <w:rPr>
          <w:color w:val="auto"/>
          <w:lang w:val="en-GB"/>
        </w:rPr>
      </w:pPr>
    </w:p>
    <w:p w14:paraId="6AA44FA5" w14:textId="60B69578" w:rsidR="00C8548E" w:rsidRPr="007A77EF" w:rsidRDefault="00CB2B4E" w:rsidP="003A10FB">
      <w:pPr>
        <w:pStyle w:val="BodyA"/>
        <w:spacing w:line="480" w:lineRule="auto"/>
        <w:ind w:firstLine="720"/>
        <w:rPr>
          <w:color w:val="auto"/>
          <w:lang w:val="en-GB"/>
        </w:rPr>
      </w:pPr>
      <w:r w:rsidRPr="007A77EF">
        <w:rPr>
          <w:color w:val="auto"/>
          <w:lang w:val="en-GB"/>
        </w:rPr>
        <w:t xml:space="preserve">The data were analysed offline using </w:t>
      </w:r>
      <w:r w:rsidR="00D42BF3" w:rsidRPr="007A77EF">
        <w:rPr>
          <w:color w:val="auto"/>
          <w:lang w:val="en-GB"/>
        </w:rPr>
        <w:t>fNIRS</w:t>
      </w:r>
      <w:r w:rsidRPr="007A77EF">
        <w:rPr>
          <w:color w:val="auto"/>
          <w:lang w:val="en-GB"/>
        </w:rPr>
        <w:t>-Soft (Ayaz et al, 2010). Raw data were subjected to a Sliding-window Motion Artefact Rejection (SMAR) algorithm</w:t>
      </w:r>
      <w:r w:rsidR="00E00C72" w:rsidRPr="007A77EF">
        <w:rPr>
          <w:color w:val="auto"/>
          <w:lang w:val="en-GB"/>
        </w:rPr>
        <w:t xml:space="preserve">, which </w:t>
      </w:r>
      <w:r w:rsidR="00B12F62" w:rsidRPr="007A77EF">
        <w:rPr>
          <w:color w:val="auto"/>
          <w:lang w:val="en-GB"/>
        </w:rPr>
        <w:t xml:space="preserve">is based upon </w:t>
      </w:r>
      <w:r w:rsidR="00E00C72" w:rsidRPr="007A77EF">
        <w:rPr>
          <w:color w:val="auto"/>
          <w:lang w:val="en-GB"/>
        </w:rPr>
        <w:t xml:space="preserve">the </w:t>
      </w:r>
      <w:r w:rsidR="00815F91" w:rsidRPr="007A77EF">
        <w:rPr>
          <w:color w:val="auto"/>
          <w:lang w:val="en-GB"/>
        </w:rPr>
        <w:t>principal that raw optical signals have less variation than segments with motion artefact an</w:t>
      </w:r>
      <w:r w:rsidR="00BE429C" w:rsidRPr="007A77EF">
        <w:rPr>
          <w:color w:val="auto"/>
          <w:lang w:val="en-GB"/>
        </w:rPr>
        <w:t xml:space="preserve">d saturated channels </w:t>
      </w:r>
      <w:r w:rsidRPr="007A77EF">
        <w:rPr>
          <w:color w:val="auto"/>
          <w:lang w:val="en-GB"/>
        </w:rPr>
        <w:t>to remove motion artefacts and saturated channels</w:t>
      </w:r>
      <w:r w:rsidR="00C26F40" w:rsidRPr="007A77EF">
        <w:rPr>
          <w:color w:val="auto"/>
          <w:lang w:val="en-GB"/>
        </w:rPr>
        <w:t xml:space="preserve"> </w:t>
      </w:r>
      <w:r w:rsidR="00C26F40" w:rsidRPr="007A77EF">
        <w:rPr>
          <w:color w:val="auto"/>
          <w:lang w:val="en-GB"/>
        </w:rPr>
        <w:fldChar w:fldCharType="begin" w:fldLock="1"/>
      </w:r>
      <w:r w:rsidR="000C06E2" w:rsidRPr="007A77EF">
        <w:rPr>
          <w:color w:val="auto"/>
          <w:lang w:val="en-GB"/>
        </w:rPr>
        <w:instrText>ADDIN CSL_CITATION { "citationItems" : [ { "id" : "ITEM-1", "itemData" : { "DOI" : "10.1109/IEMBS.2010.5627113", "ISBN" : "9781424441242", "ISSN" : "1557-170X", "PMID" : "21096508", "abstract" : "Functional Near-Infrared Spectroscopy (fNIR) is an optical brain monitoring technology that tracks changes in hemodynamic responses within the cortex. fNIR uses specific wavelengths of light, introduced at the scalp, to enable the noninvasive measurement of changes in the relative ratios of deoxygenated hemoglobin (deoxy-Hb) and oxygenated hemoglobin (oxy-Hb) during brain activity. This technology allows the design of portable, safe, affordable, noninvasive, and minimally intrusive monitoring systems that can be used to measure brain activity in natural environments, ambulatory and field conditions. However, for such applications fNIR signals can get prone to noise due to motion of the head. Improving signal quality and reducing noise, can be especially challenging for real time applications. Here, we study motion artifact related noise especially due to poor and changing sensor coupling. We have developed a simple and iterative method that can be used to automate the preprocessing of data to identify segments with such noise for exclusion and this method is also suitable for real time applications.", "author" : [ { "dropping-particle" : "", "family" : "Ayaz", "given" : "Hasan", "non-dropping-particle" : "", "parse-names" : false, "suffix" : "" }, { "dropping-particle" : "", "family" : "Izzetoglu", "given" : "Meltem", "non-dropping-particle" : "", "parse-names" : false, "suffix" : "" }, { "dropping-particle" : "", "family" : "Shewokis", "given" : "Patricia A", "non-dropping-particle" : "", "parse-names" : false, "suffix" : "" }, { "dropping-particle" : "", "family" : "Onaral", "given" : "Banu", "non-dropping-particle" : "", "parse-names" : false, "suffix" : "" } ], "container-title" : "Conference proceedings : ... Annual International Conference of the IEEE Engineering in Medicine and Biology Society. IEEE Engineering in Medicine and Biology Society. Conference", "id" : "ITEM-1", "issued" : { "date-parts" : [ [ "2010", "1" ] ] }, "page" : "6567-70", "title" : "Sliding-window motion artifact rejection for Functional Near-Infrared Spectroscopy.", "type" : "article-journal", "volume" : "2010" }, "uris" : [ "http://www.mendeley.com/documents/?uuid=1ae30177-b5de-4eab-9ab9-f3b8f964a700" ] } ], "mendeley" : { "formattedCitation" : "(Ayaz, Izzetoglu, Shewokis, &amp; Onaral, 2010)", "manualFormatting" : "(for details see Ayaz, Izzetoglu, Shewokis, &amp; Onaral, 2010)", "plainTextFormattedCitation" : "(Ayaz, Izzetoglu, Shewokis, &amp; Onaral, 2010)", "previouslyFormattedCitation" : "(Ayaz, Izzetoglu, Shewokis, &amp; Onaral, 2010)" }, "properties" : { "noteIndex" : 0 }, "schema" : "https://github.com/citation-style-language/schema/raw/master/csl-citation.json" }</w:instrText>
      </w:r>
      <w:r w:rsidR="00C26F40" w:rsidRPr="007A77EF">
        <w:rPr>
          <w:color w:val="auto"/>
          <w:lang w:val="en-GB"/>
        </w:rPr>
        <w:fldChar w:fldCharType="separate"/>
      </w:r>
      <w:r w:rsidR="00E00C72" w:rsidRPr="007A77EF">
        <w:rPr>
          <w:noProof/>
          <w:color w:val="auto"/>
          <w:lang w:val="en-GB"/>
        </w:rPr>
        <w:t>(</w:t>
      </w:r>
      <w:r w:rsidR="00815F91" w:rsidRPr="007A77EF">
        <w:rPr>
          <w:noProof/>
          <w:color w:val="auto"/>
          <w:lang w:val="en-GB"/>
        </w:rPr>
        <w:t xml:space="preserve">for details see </w:t>
      </w:r>
      <w:r w:rsidR="00C26F40" w:rsidRPr="007A77EF">
        <w:rPr>
          <w:noProof/>
          <w:color w:val="auto"/>
          <w:lang w:val="en-GB"/>
        </w:rPr>
        <w:t>Ayaz, Izzetoglu, Shewokis, &amp; Onaral, 2010)</w:t>
      </w:r>
      <w:r w:rsidR="00C26F40" w:rsidRPr="007A77EF">
        <w:rPr>
          <w:color w:val="auto"/>
          <w:lang w:val="en-GB"/>
        </w:rPr>
        <w:fldChar w:fldCharType="end"/>
      </w:r>
      <w:r w:rsidRPr="007A77EF">
        <w:rPr>
          <w:color w:val="auto"/>
          <w:lang w:val="en-GB"/>
        </w:rPr>
        <w:t>. A finite impulse response linear phase low-pass filter, with order 20 and cut-off frequency of 0.1 Hz was applied to attenuate high frequency noise, respiration and cardiac effects (Ayaz et al</w:t>
      </w:r>
      <w:r w:rsidR="00C26F40" w:rsidRPr="007A77EF">
        <w:rPr>
          <w:color w:val="auto"/>
          <w:lang w:val="en-GB"/>
        </w:rPr>
        <w:t>.</w:t>
      </w:r>
      <w:r w:rsidRPr="007A77EF">
        <w:rPr>
          <w:color w:val="auto"/>
          <w:lang w:val="en-GB"/>
        </w:rPr>
        <w:t>, 2010; Izzetoglu et al</w:t>
      </w:r>
      <w:r w:rsidR="00C26F40" w:rsidRPr="007A77EF">
        <w:rPr>
          <w:color w:val="auto"/>
          <w:lang w:val="en-GB"/>
        </w:rPr>
        <w:t>.</w:t>
      </w:r>
      <w:r w:rsidRPr="007A77EF">
        <w:rPr>
          <w:color w:val="auto"/>
          <w:lang w:val="en-GB"/>
        </w:rPr>
        <w:t xml:space="preserve">, 2007).   </w:t>
      </w:r>
      <w:r w:rsidR="002E7C52" w:rsidRPr="007A77EF">
        <w:rPr>
          <w:color w:val="auto"/>
          <w:lang w:val="en-GB"/>
        </w:rPr>
        <w:t>The data w</w:t>
      </w:r>
      <w:r w:rsidR="00765D78" w:rsidRPr="007A77EF">
        <w:rPr>
          <w:color w:val="auto"/>
          <w:lang w:val="en-GB"/>
        </w:rPr>
        <w:t>ere</w:t>
      </w:r>
      <w:r w:rsidR="002E7C52" w:rsidRPr="007A77EF">
        <w:rPr>
          <w:color w:val="auto"/>
          <w:lang w:val="en-GB"/>
        </w:rPr>
        <w:t xml:space="preserve"> divided into 30</w:t>
      </w:r>
      <w:r w:rsidR="00001630" w:rsidRPr="007A77EF">
        <w:rPr>
          <w:color w:val="auto"/>
          <w:lang w:val="en-GB"/>
        </w:rPr>
        <w:t xml:space="preserve"> </w:t>
      </w:r>
      <w:r w:rsidR="002E7C52" w:rsidRPr="007A77EF">
        <w:rPr>
          <w:color w:val="auto"/>
          <w:lang w:val="en-GB"/>
        </w:rPr>
        <w:t>second segments</w:t>
      </w:r>
      <w:r w:rsidR="006159B1" w:rsidRPr="007A77EF">
        <w:rPr>
          <w:color w:val="auto"/>
          <w:lang w:val="en-GB"/>
        </w:rPr>
        <w:t xml:space="preserve"> </w:t>
      </w:r>
      <w:r w:rsidR="002E7C52" w:rsidRPr="007A77EF">
        <w:rPr>
          <w:color w:val="auto"/>
          <w:lang w:val="en-GB"/>
        </w:rPr>
        <w:t xml:space="preserve">using synchronization markers. </w:t>
      </w:r>
      <w:r w:rsidRPr="007A77EF">
        <w:rPr>
          <w:color w:val="auto"/>
          <w:lang w:val="en-GB"/>
        </w:rPr>
        <w:t>For each 30 seconds of data</w:t>
      </w:r>
      <w:r w:rsidR="006159B1" w:rsidRPr="007A77EF">
        <w:rPr>
          <w:color w:val="auto"/>
          <w:lang w:val="en-GB"/>
        </w:rPr>
        <w:t xml:space="preserve"> oxygenated haemoglobin (</w:t>
      </w:r>
      <w:r w:rsidRPr="007A77EF">
        <w:rPr>
          <w:color w:val="auto"/>
          <w:lang w:val="en-GB"/>
        </w:rPr>
        <w:t>HbO</w:t>
      </w:r>
      <w:r w:rsidR="006159B1" w:rsidRPr="007A77EF">
        <w:rPr>
          <w:color w:val="auto"/>
          <w:lang w:val="en-GB"/>
        </w:rPr>
        <w:t>)</w:t>
      </w:r>
      <w:r w:rsidRPr="007A77EF">
        <w:rPr>
          <w:color w:val="auto"/>
          <w:lang w:val="en-GB"/>
        </w:rPr>
        <w:t xml:space="preserve"> and </w:t>
      </w:r>
      <w:r w:rsidR="006159B1" w:rsidRPr="007A77EF">
        <w:rPr>
          <w:color w:val="auto"/>
          <w:lang w:val="en-GB"/>
        </w:rPr>
        <w:t>deoxygenated haemoglobin (</w:t>
      </w:r>
      <w:r w:rsidRPr="007A77EF">
        <w:rPr>
          <w:color w:val="auto"/>
          <w:lang w:val="en-GB"/>
        </w:rPr>
        <w:t>HHb</w:t>
      </w:r>
      <w:r w:rsidR="006159B1" w:rsidRPr="007A77EF">
        <w:rPr>
          <w:color w:val="auto"/>
          <w:lang w:val="en-GB"/>
        </w:rPr>
        <w:t>)</w:t>
      </w:r>
      <w:r w:rsidRPr="007A77EF">
        <w:rPr>
          <w:color w:val="auto"/>
          <w:lang w:val="en-GB"/>
        </w:rPr>
        <w:t xml:space="preserve"> were calculated relative to the baseline of 20 seconds collected during the rest period immediately before each stimulus onset u</w:t>
      </w:r>
      <w:r w:rsidR="002E7C52" w:rsidRPr="007A77EF">
        <w:rPr>
          <w:color w:val="auto"/>
          <w:lang w:val="en-GB"/>
        </w:rPr>
        <w:t>sing the modified Beer-Lambert L</w:t>
      </w:r>
      <w:r w:rsidRPr="007A77EF">
        <w:rPr>
          <w:color w:val="auto"/>
          <w:lang w:val="en-GB"/>
        </w:rPr>
        <w:t>aw. The 30 second segments were averaged according to category (PO, PS, NO, NS)</w:t>
      </w:r>
      <w:r w:rsidR="006159B1" w:rsidRPr="007A77EF">
        <w:rPr>
          <w:color w:val="auto"/>
          <w:lang w:val="en-GB"/>
        </w:rPr>
        <w:t>. Data was</w:t>
      </w:r>
      <w:r w:rsidRPr="007A77EF">
        <w:rPr>
          <w:color w:val="auto"/>
          <w:lang w:val="en-GB"/>
        </w:rPr>
        <w:t xml:space="preserve"> extracted to Excel for further analysis.  </w:t>
      </w:r>
      <w:r w:rsidR="003A10FB" w:rsidRPr="007A77EF">
        <w:rPr>
          <w:color w:val="auto"/>
          <w:lang w:val="en-GB"/>
        </w:rPr>
        <w:t>Statistical analyses w</w:t>
      </w:r>
      <w:r w:rsidR="00D432C7" w:rsidRPr="007A77EF">
        <w:rPr>
          <w:color w:val="auto"/>
          <w:lang w:val="en-GB"/>
        </w:rPr>
        <w:t xml:space="preserve">ere conducted using SPSS v.21. </w:t>
      </w:r>
      <w:r w:rsidR="003A10FB" w:rsidRPr="007A77EF">
        <w:rPr>
          <w:color w:val="auto"/>
          <w:lang w:val="en-GB"/>
        </w:rPr>
        <w:t xml:space="preserve">Violations of </w:t>
      </w:r>
      <w:r w:rsidR="003A10FB" w:rsidRPr="007A77EF">
        <w:rPr>
          <w:color w:val="auto"/>
          <w:lang w:val="en-GB"/>
        </w:rPr>
        <w:lastRenderedPageBreak/>
        <w:t>sphericity were corrected via the Greenhouse-Geisser adjustment and outliers (any value that fell below -3SD or above 3SD from the mean) were excluded.</w:t>
      </w:r>
      <w:r w:rsidRPr="007A77EF">
        <w:rPr>
          <w:color w:val="auto"/>
          <w:lang w:val="en-GB"/>
        </w:rPr>
        <w:t xml:space="preserve"> </w:t>
      </w:r>
    </w:p>
    <w:p w14:paraId="17C09B97" w14:textId="5117B47B" w:rsidR="003A10FB" w:rsidRPr="007A77EF" w:rsidRDefault="007A77EF" w:rsidP="003A10FB">
      <w:pPr>
        <w:pStyle w:val="BodyA"/>
        <w:spacing w:line="480" w:lineRule="auto"/>
        <w:rPr>
          <w:color w:val="auto"/>
          <w:lang w:val="en-GB"/>
        </w:rPr>
      </w:pPr>
      <w:r w:rsidRPr="007A77EF">
        <w:rPr>
          <w:color w:val="auto"/>
          <w:lang w:val="en-GB"/>
        </w:rPr>
        <w:t xml:space="preserve">2.6 </w:t>
      </w:r>
      <w:r w:rsidR="003A10FB" w:rsidRPr="007A77EF">
        <w:rPr>
          <w:color w:val="auto"/>
          <w:lang w:val="en-GB"/>
        </w:rPr>
        <w:t>Region Of Interest (ROI) Analysis</w:t>
      </w:r>
    </w:p>
    <w:p w14:paraId="25611072" w14:textId="5BFCE318" w:rsidR="003A10FB" w:rsidRPr="007A77EF" w:rsidRDefault="003A10FB" w:rsidP="003A10FB">
      <w:pPr>
        <w:pStyle w:val="BodyA"/>
        <w:spacing w:line="480" w:lineRule="auto"/>
        <w:rPr>
          <w:color w:val="auto"/>
          <w:lang w:val="en-GB"/>
        </w:rPr>
      </w:pPr>
      <w:r w:rsidRPr="007A77EF">
        <w:rPr>
          <w:color w:val="auto"/>
          <w:lang w:val="en-GB"/>
        </w:rPr>
        <w:tab/>
        <w:t>A ROI analysis was performed to analyse the effects of the independent variables on rPFC activation. ROIs comprised of four cha</w:t>
      </w:r>
      <w:r w:rsidR="00901AFB" w:rsidRPr="007A77EF">
        <w:rPr>
          <w:color w:val="auto"/>
          <w:lang w:val="en-GB"/>
        </w:rPr>
        <w:t xml:space="preserve">nnels and were defined as </w:t>
      </w:r>
      <w:r w:rsidRPr="007A77EF">
        <w:rPr>
          <w:color w:val="auto"/>
          <w:lang w:val="en-GB"/>
        </w:rPr>
        <w:t>lateral</w:t>
      </w:r>
      <w:r w:rsidR="00901AFB" w:rsidRPr="007A77EF">
        <w:rPr>
          <w:color w:val="auto"/>
          <w:lang w:val="en-GB"/>
        </w:rPr>
        <w:t>-right</w:t>
      </w:r>
      <w:r w:rsidRPr="007A77EF">
        <w:rPr>
          <w:color w:val="auto"/>
          <w:lang w:val="en-GB"/>
        </w:rPr>
        <w:t xml:space="preserve"> (channel 1, 2, 3, 4), medial</w:t>
      </w:r>
      <w:r w:rsidR="00901AFB" w:rsidRPr="007A77EF">
        <w:rPr>
          <w:color w:val="auto"/>
          <w:lang w:val="en-GB"/>
        </w:rPr>
        <w:t>-right</w:t>
      </w:r>
      <w:r w:rsidRPr="007A77EF">
        <w:rPr>
          <w:color w:val="auto"/>
          <w:lang w:val="en-GB"/>
        </w:rPr>
        <w:t xml:space="preserve"> (channel 5, 6, 7, 8) and medial</w:t>
      </w:r>
      <w:r w:rsidR="00901AFB" w:rsidRPr="007A77EF">
        <w:rPr>
          <w:color w:val="auto"/>
          <w:lang w:val="en-GB"/>
        </w:rPr>
        <w:t>-left</w:t>
      </w:r>
      <w:r w:rsidRPr="007A77EF">
        <w:rPr>
          <w:color w:val="auto"/>
          <w:lang w:val="en-GB"/>
        </w:rPr>
        <w:t xml:space="preserve"> (channel 9, 10, 11, 12) and lateral</w:t>
      </w:r>
      <w:r w:rsidR="00901AFB" w:rsidRPr="007A77EF">
        <w:rPr>
          <w:color w:val="auto"/>
          <w:lang w:val="en-GB"/>
        </w:rPr>
        <w:t>-left</w:t>
      </w:r>
      <w:r w:rsidRPr="007A77EF">
        <w:rPr>
          <w:color w:val="auto"/>
          <w:lang w:val="en-GB"/>
        </w:rPr>
        <w:t xml:space="preserve"> (channel 13, 14, 15, 16) areas of the rPFC (</w:t>
      </w:r>
      <w:r w:rsidR="002A515F" w:rsidRPr="007A77EF">
        <w:rPr>
          <w:color w:val="auto"/>
          <w:lang w:val="en-GB"/>
        </w:rPr>
        <w:t>Fig.</w:t>
      </w:r>
      <w:r w:rsidRPr="007A77EF">
        <w:rPr>
          <w:color w:val="auto"/>
          <w:lang w:val="en-GB"/>
        </w:rPr>
        <w:t xml:space="preserve"> 3). </w:t>
      </w:r>
    </w:p>
    <w:p w14:paraId="3C904EA6" w14:textId="77777777" w:rsidR="00C8548E" w:rsidRPr="007A77EF" w:rsidRDefault="00C8548E" w:rsidP="00B93EE2">
      <w:pPr>
        <w:pStyle w:val="BodyA"/>
        <w:spacing w:line="480" w:lineRule="auto"/>
        <w:rPr>
          <w:color w:val="auto"/>
          <w:lang w:val="en-GB"/>
        </w:rPr>
      </w:pPr>
    </w:p>
    <w:p w14:paraId="07260AC1" w14:textId="1324118B" w:rsidR="00C8548E" w:rsidRPr="007A77EF" w:rsidRDefault="00F44936" w:rsidP="007A77EF">
      <w:pPr>
        <w:pStyle w:val="BodyA"/>
        <w:numPr>
          <w:ilvl w:val="0"/>
          <w:numId w:val="1"/>
        </w:numPr>
        <w:spacing w:line="480" w:lineRule="auto"/>
        <w:rPr>
          <w:color w:val="auto"/>
          <w:lang w:val="en-GB"/>
        </w:rPr>
      </w:pPr>
      <w:r w:rsidRPr="007A77EF">
        <w:rPr>
          <w:color w:val="auto"/>
          <w:lang w:val="en-GB"/>
        </w:rPr>
        <w:t>RESULTS</w:t>
      </w:r>
    </w:p>
    <w:p w14:paraId="193536FF" w14:textId="0BFEF885" w:rsidR="00F44936" w:rsidRPr="007A77EF" w:rsidRDefault="00F44936" w:rsidP="00382A95">
      <w:pPr>
        <w:pStyle w:val="BodyA"/>
        <w:spacing w:line="480" w:lineRule="auto"/>
        <w:rPr>
          <w:color w:val="auto"/>
          <w:lang w:val="en-GB"/>
        </w:rPr>
      </w:pPr>
      <w:r w:rsidRPr="007A77EF">
        <w:rPr>
          <w:color w:val="auto"/>
          <w:lang w:val="en-GB"/>
        </w:rPr>
        <w:tab/>
      </w:r>
    </w:p>
    <w:p w14:paraId="4D6FC2CC" w14:textId="352A5C31" w:rsidR="00C8548E" w:rsidRPr="007A77EF" w:rsidRDefault="003A10FB" w:rsidP="00382A95">
      <w:pPr>
        <w:pStyle w:val="BodyA"/>
        <w:spacing w:line="480" w:lineRule="auto"/>
        <w:ind w:firstLine="720"/>
        <w:rPr>
          <w:color w:val="auto"/>
          <w:lang w:val="en-GB"/>
        </w:rPr>
      </w:pPr>
      <w:r w:rsidRPr="007A77EF">
        <w:rPr>
          <w:color w:val="auto"/>
          <w:lang w:val="en-GB"/>
        </w:rPr>
        <w:t>Subjective ratings</w:t>
      </w:r>
      <w:r w:rsidR="009B3297" w:rsidRPr="007A77EF">
        <w:rPr>
          <w:color w:val="auto"/>
          <w:lang w:val="en-GB"/>
        </w:rPr>
        <w:t xml:space="preserve"> post-level two image selection </w:t>
      </w:r>
      <w:r w:rsidRPr="007A77EF">
        <w:rPr>
          <w:color w:val="auto"/>
          <w:lang w:val="en-GB"/>
        </w:rPr>
        <w:t xml:space="preserve">were subjected to a </w:t>
      </w:r>
      <w:r w:rsidR="00CB2B4E" w:rsidRPr="007A77EF">
        <w:rPr>
          <w:color w:val="auto"/>
          <w:lang w:val="en-GB"/>
        </w:rPr>
        <w:t>2 (</w:t>
      </w:r>
      <w:r w:rsidR="009B3297" w:rsidRPr="007A77EF">
        <w:rPr>
          <w:color w:val="auto"/>
          <w:lang w:val="en-GB"/>
        </w:rPr>
        <w:t>self/other</w:t>
      </w:r>
      <w:r w:rsidR="00CB2B4E" w:rsidRPr="007A77EF">
        <w:rPr>
          <w:color w:val="auto"/>
          <w:lang w:val="en-GB"/>
        </w:rPr>
        <w:t>) x 2 (</w:t>
      </w:r>
      <w:r w:rsidR="009B3297" w:rsidRPr="007A77EF">
        <w:rPr>
          <w:color w:val="auto"/>
          <w:lang w:val="en-GB"/>
        </w:rPr>
        <w:t>positive/negative</w:t>
      </w:r>
      <w:r w:rsidR="00CB2B4E" w:rsidRPr="007A77EF">
        <w:rPr>
          <w:color w:val="auto"/>
          <w:lang w:val="en-GB"/>
        </w:rPr>
        <w:t xml:space="preserve">) ANOVA to verify that positive and negative images were seen as significantly different. The results revealed a main effect </w:t>
      </w:r>
      <w:r w:rsidR="000A4986" w:rsidRPr="007A77EF">
        <w:rPr>
          <w:color w:val="auto"/>
          <w:lang w:val="en-GB"/>
        </w:rPr>
        <w:t>of valence (</w:t>
      </w:r>
      <w:proofErr w:type="gramStart"/>
      <w:r w:rsidR="000A4986" w:rsidRPr="007A77EF">
        <w:rPr>
          <w:color w:val="auto"/>
          <w:lang w:val="en-GB"/>
        </w:rPr>
        <w:t>F(</w:t>
      </w:r>
      <w:proofErr w:type="gramEnd"/>
      <w:r w:rsidR="000A4986" w:rsidRPr="007A77EF">
        <w:rPr>
          <w:color w:val="auto"/>
          <w:lang w:val="en-GB"/>
        </w:rPr>
        <w:t>1,59) = 433.47, p=</w:t>
      </w:r>
      <w:r w:rsidR="00CB2B4E" w:rsidRPr="007A77EF">
        <w:rPr>
          <w:color w:val="auto"/>
          <w:lang w:val="en-GB"/>
        </w:rPr>
        <w:t xml:space="preserve">.001, </w:t>
      </w:r>
      <w:r w:rsidR="00CB2B4E" w:rsidRPr="007A77EF">
        <w:rPr>
          <w:rFonts w:hAnsi="Times New Roman"/>
          <w:color w:val="auto"/>
          <w:lang w:val="en-GB"/>
        </w:rPr>
        <w:t xml:space="preserve">η </w:t>
      </w:r>
      <w:r w:rsidR="00CB2B4E" w:rsidRPr="007A77EF">
        <w:rPr>
          <w:color w:val="auto"/>
          <w:lang w:val="en-GB"/>
        </w:rPr>
        <w:t>= .88) showing that negative image</w:t>
      </w:r>
      <w:r w:rsidR="0032121A" w:rsidRPr="007A77EF">
        <w:rPr>
          <w:color w:val="auto"/>
          <w:lang w:val="en-GB"/>
        </w:rPr>
        <w:t>s</w:t>
      </w:r>
      <w:r w:rsidR="00CB2B4E" w:rsidRPr="007A77EF">
        <w:rPr>
          <w:color w:val="auto"/>
          <w:lang w:val="en-GB"/>
        </w:rPr>
        <w:t xml:space="preserve"> were </w:t>
      </w:r>
      <w:r w:rsidR="00765D78" w:rsidRPr="007A77EF">
        <w:rPr>
          <w:color w:val="auto"/>
          <w:lang w:val="en-GB"/>
        </w:rPr>
        <w:t>perceived</w:t>
      </w:r>
      <w:r w:rsidR="00CB2B4E" w:rsidRPr="007A77EF">
        <w:rPr>
          <w:color w:val="auto"/>
          <w:lang w:val="en-GB"/>
        </w:rPr>
        <w:t xml:space="preserve"> as significantly more negative than positive images. The valence ratings for each category of image were: NO (M = 7.30, s.d. 1.38), NS (M = 7.43, s.d. 1.19), PO (M = 3.15, s.d. 1.61) and PS (M = 2.83, s.d. 1.52).   There was no significant effect due to self/other condition or any interaction effect. </w:t>
      </w:r>
    </w:p>
    <w:p w14:paraId="1B530608" w14:textId="2EE739B0" w:rsidR="00F74B73" w:rsidRPr="007A77EF" w:rsidRDefault="00F44936" w:rsidP="003A10FB">
      <w:pPr>
        <w:pStyle w:val="BodyA"/>
        <w:spacing w:line="480" w:lineRule="auto"/>
        <w:rPr>
          <w:color w:val="auto"/>
          <w:lang w:val="en-GB"/>
        </w:rPr>
      </w:pPr>
      <w:r w:rsidRPr="007A77EF">
        <w:rPr>
          <w:color w:val="auto"/>
          <w:lang w:val="en-GB"/>
        </w:rPr>
        <w:tab/>
        <w:t>A 2 (self/ot</w:t>
      </w:r>
      <w:r w:rsidR="003A10FB" w:rsidRPr="007A77EF">
        <w:rPr>
          <w:color w:val="auto"/>
          <w:lang w:val="en-GB"/>
        </w:rPr>
        <w:t>her) x 2 (positive/negative) AN</w:t>
      </w:r>
      <w:r w:rsidRPr="007A77EF">
        <w:rPr>
          <w:color w:val="auto"/>
          <w:lang w:val="en-GB"/>
        </w:rPr>
        <w:t>OVA was conducted on each ROI separately</w:t>
      </w:r>
      <w:r w:rsidR="00F74B73" w:rsidRPr="007A77EF">
        <w:rPr>
          <w:color w:val="auto"/>
          <w:lang w:val="en-GB"/>
        </w:rPr>
        <w:t xml:space="preserve"> for HbO and HHb</w:t>
      </w:r>
      <w:r w:rsidR="003A10FB" w:rsidRPr="007A77EF">
        <w:rPr>
          <w:color w:val="auto"/>
          <w:lang w:val="en-GB"/>
        </w:rPr>
        <w:t xml:space="preserve">. </w:t>
      </w:r>
      <w:r w:rsidR="008F1E67" w:rsidRPr="007A77EF">
        <w:rPr>
          <w:color w:val="auto"/>
          <w:lang w:val="en-GB"/>
        </w:rPr>
        <w:t xml:space="preserve">One outlier was removed from the </w:t>
      </w:r>
      <w:r w:rsidR="0035252E" w:rsidRPr="007A77EF">
        <w:rPr>
          <w:color w:val="auto"/>
          <w:lang w:val="en-GB"/>
        </w:rPr>
        <w:t xml:space="preserve">analyses related to the </w:t>
      </w:r>
      <w:r w:rsidR="008F1E67" w:rsidRPr="007A77EF">
        <w:rPr>
          <w:color w:val="auto"/>
          <w:lang w:val="en-GB"/>
        </w:rPr>
        <w:t>medial-left and medial-right area</w:t>
      </w:r>
      <w:r w:rsidR="00376C66" w:rsidRPr="007A77EF">
        <w:rPr>
          <w:color w:val="auto"/>
          <w:lang w:val="en-GB"/>
        </w:rPr>
        <w:t>.</w:t>
      </w:r>
      <w:r w:rsidR="008F1E67" w:rsidRPr="007A77EF">
        <w:rPr>
          <w:color w:val="auto"/>
          <w:lang w:val="en-GB"/>
        </w:rPr>
        <w:t xml:space="preserve"> </w:t>
      </w:r>
      <w:r w:rsidR="00F74B73" w:rsidRPr="007A77EF">
        <w:rPr>
          <w:color w:val="auto"/>
          <w:lang w:val="en-GB"/>
        </w:rPr>
        <w:t xml:space="preserve">The </w:t>
      </w:r>
      <w:r w:rsidR="0035252E" w:rsidRPr="007A77EF">
        <w:rPr>
          <w:color w:val="auto"/>
          <w:lang w:val="en-GB"/>
        </w:rPr>
        <w:t xml:space="preserve">series of </w:t>
      </w:r>
      <w:r w:rsidR="00F74B73" w:rsidRPr="007A77EF">
        <w:rPr>
          <w:color w:val="auto"/>
          <w:lang w:val="en-GB"/>
        </w:rPr>
        <w:t>ANOVA</w:t>
      </w:r>
      <w:r w:rsidR="0035252E" w:rsidRPr="007A77EF">
        <w:rPr>
          <w:color w:val="auto"/>
          <w:lang w:val="en-GB"/>
        </w:rPr>
        <w:t xml:space="preserve">s using </w:t>
      </w:r>
      <w:r w:rsidR="00EA3B0E" w:rsidRPr="007A77EF">
        <w:rPr>
          <w:color w:val="auto"/>
          <w:lang w:val="en-GB"/>
        </w:rPr>
        <w:t xml:space="preserve">HbO </w:t>
      </w:r>
      <w:r w:rsidR="0035252E" w:rsidRPr="007A77EF">
        <w:rPr>
          <w:color w:val="auto"/>
          <w:lang w:val="en-GB"/>
        </w:rPr>
        <w:t xml:space="preserve">as a dependent variable </w:t>
      </w:r>
      <w:r w:rsidR="00F74B73" w:rsidRPr="007A77EF">
        <w:rPr>
          <w:color w:val="auto"/>
          <w:lang w:val="en-GB"/>
        </w:rPr>
        <w:t xml:space="preserve">indicated a significant </w:t>
      </w:r>
      <w:r w:rsidR="00EA3B0E" w:rsidRPr="007A77EF">
        <w:rPr>
          <w:color w:val="auto"/>
          <w:lang w:val="en-GB"/>
        </w:rPr>
        <w:t>increase</w:t>
      </w:r>
      <w:r w:rsidR="00F74B73" w:rsidRPr="007A77EF">
        <w:rPr>
          <w:color w:val="auto"/>
          <w:lang w:val="en-GB"/>
        </w:rPr>
        <w:t xml:space="preserve"> </w:t>
      </w:r>
      <w:r w:rsidR="00EA3B0E" w:rsidRPr="007A77EF">
        <w:rPr>
          <w:color w:val="auto"/>
          <w:lang w:val="en-GB"/>
        </w:rPr>
        <w:t xml:space="preserve">in the </w:t>
      </w:r>
      <w:r w:rsidR="00EA3B0E" w:rsidRPr="007A77EF">
        <w:rPr>
          <w:i/>
          <w:color w:val="auto"/>
          <w:lang w:val="en-GB"/>
        </w:rPr>
        <w:t>other</w:t>
      </w:r>
      <w:r w:rsidR="00EA3B0E" w:rsidRPr="007A77EF">
        <w:rPr>
          <w:color w:val="auto"/>
          <w:lang w:val="en-GB"/>
        </w:rPr>
        <w:t xml:space="preserve">-condition compared to the </w:t>
      </w:r>
      <w:r w:rsidR="00EA3B0E" w:rsidRPr="007A77EF">
        <w:rPr>
          <w:i/>
          <w:color w:val="auto"/>
          <w:lang w:val="en-GB"/>
        </w:rPr>
        <w:t>self</w:t>
      </w:r>
      <w:r w:rsidR="00EA3B0E" w:rsidRPr="007A77EF">
        <w:rPr>
          <w:color w:val="auto"/>
          <w:lang w:val="en-GB"/>
        </w:rPr>
        <w:t>-condition</w:t>
      </w:r>
      <w:r w:rsidR="00F74B73" w:rsidRPr="007A77EF">
        <w:rPr>
          <w:color w:val="auto"/>
          <w:lang w:val="en-GB"/>
        </w:rPr>
        <w:t xml:space="preserve"> </w:t>
      </w:r>
      <w:r w:rsidR="004C43D6" w:rsidRPr="007A77EF">
        <w:rPr>
          <w:color w:val="auto"/>
          <w:lang w:val="en-GB"/>
        </w:rPr>
        <w:t xml:space="preserve">in </w:t>
      </w:r>
      <w:r w:rsidR="00FC57EC" w:rsidRPr="007A77EF">
        <w:rPr>
          <w:color w:val="auto"/>
          <w:lang w:val="en-GB"/>
        </w:rPr>
        <w:t>three</w:t>
      </w:r>
      <w:r w:rsidR="004C43D6" w:rsidRPr="007A77EF">
        <w:rPr>
          <w:color w:val="auto"/>
          <w:lang w:val="en-GB"/>
        </w:rPr>
        <w:t xml:space="preserve"> ROIs; lateral</w:t>
      </w:r>
      <w:r w:rsidR="00D432C7" w:rsidRPr="007A77EF">
        <w:rPr>
          <w:color w:val="auto"/>
          <w:lang w:val="en-GB"/>
        </w:rPr>
        <w:t>-</w:t>
      </w:r>
      <w:r w:rsidR="00EA3B0E" w:rsidRPr="007A77EF">
        <w:rPr>
          <w:color w:val="auto"/>
          <w:lang w:val="en-GB"/>
        </w:rPr>
        <w:t>right (F(1,</w:t>
      </w:r>
      <w:r w:rsidR="008B35E8" w:rsidRPr="007A77EF">
        <w:rPr>
          <w:color w:val="auto"/>
          <w:lang w:val="en-GB"/>
        </w:rPr>
        <w:t>1</w:t>
      </w:r>
      <w:r w:rsidR="004C43D6" w:rsidRPr="007A77EF">
        <w:rPr>
          <w:color w:val="auto"/>
          <w:lang w:val="en-GB"/>
        </w:rPr>
        <w:t>9</w:t>
      </w:r>
      <w:r w:rsidR="008B35E8" w:rsidRPr="007A77EF">
        <w:rPr>
          <w:color w:val="auto"/>
          <w:lang w:val="en-GB"/>
        </w:rPr>
        <w:t>) = 6.</w:t>
      </w:r>
      <w:r w:rsidR="004C43D6" w:rsidRPr="007A77EF">
        <w:rPr>
          <w:color w:val="auto"/>
          <w:lang w:val="en-GB"/>
        </w:rPr>
        <w:t>59</w:t>
      </w:r>
      <w:r w:rsidR="000A4986" w:rsidRPr="007A77EF">
        <w:rPr>
          <w:color w:val="auto"/>
          <w:lang w:val="en-GB"/>
        </w:rPr>
        <w:t>, p=</w:t>
      </w:r>
      <w:r w:rsidR="008B35E8" w:rsidRPr="007A77EF">
        <w:rPr>
          <w:color w:val="auto"/>
          <w:lang w:val="en-GB"/>
        </w:rPr>
        <w:t>.0</w:t>
      </w:r>
      <w:r w:rsidR="004C43D6" w:rsidRPr="007A77EF">
        <w:rPr>
          <w:color w:val="auto"/>
          <w:lang w:val="en-GB"/>
        </w:rPr>
        <w:t>1</w:t>
      </w:r>
      <w:r w:rsidR="00EA3B0E" w:rsidRPr="007A77EF">
        <w:rPr>
          <w:color w:val="auto"/>
          <w:lang w:val="en-GB"/>
        </w:rPr>
        <w:t xml:space="preserve">, </w:t>
      </w:r>
      <w:r w:rsidR="00EA3B0E" w:rsidRPr="007A77EF">
        <w:rPr>
          <w:rFonts w:hAnsi="Times New Roman"/>
          <w:color w:val="auto"/>
          <w:lang w:val="en-GB"/>
        </w:rPr>
        <w:t xml:space="preserve">η </w:t>
      </w:r>
      <w:r w:rsidR="00EA3B0E" w:rsidRPr="007A77EF">
        <w:rPr>
          <w:color w:val="auto"/>
          <w:lang w:val="en-GB"/>
        </w:rPr>
        <w:t>=</w:t>
      </w:r>
      <w:r w:rsidR="008B35E8" w:rsidRPr="007A77EF">
        <w:rPr>
          <w:color w:val="auto"/>
          <w:lang w:val="en-GB"/>
        </w:rPr>
        <w:t xml:space="preserve"> .2</w:t>
      </w:r>
      <w:r w:rsidR="004C43D6" w:rsidRPr="007A77EF">
        <w:rPr>
          <w:color w:val="auto"/>
          <w:lang w:val="en-GB"/>
        </w:rPr>
        <w:t>5</w:t>
      </w:r>
      <w:r w:rsidR="00EA3B0E" w:rsidRPr="007A77EF">
        <w:rPr>
          <w:color w:val="auto"/>
          <w:lang w:val="en-GB"/>
        </w:rPr>
        <w:t>)</w:t>
      </w:r>
      <w:r w:rsidR="004C43D6" w:rsidRPr="007A77EF">
        <w:rPr>
          <w:color w:val="auto"/>
          <w:lang w:val="en-GB"/>
        </w:rPr>
        <w:t>, medial</w:t>
      </w:r>
      <w:r w:rsidR="00D432C7" w:rsidRPr="007A77EF">
        <w:rPr>
          <w:color w:val="auto"/>
          <w:lang w:val="en-GB"/>
        </w:rPr>
        <w:t>-</w:t>
      </w:r>
      <w:r w:rsidR="004C43D6" w:rsidRPr="007A77EF">
        <w:rPr>
          <w:color w:val="auto"/>
          <w:lang w:val="en-GB"/>
        </w:rPr>
        <w:t xml:space="preserve">left (F(1,18) = 6.99, p=.01, </w:t>
      </w:r>
      <w:r w:rsidR="004C43D6" w:rsidRPr="007A77EF">
        <w:rPr>
          <w:rFonts w:hAnsi="Times New Roman"/>
          <w:color w:val="auto"/>
          <w:lang w:val="en-GB"/>
        </w:rPr>
        <w:t xml:space="preserve">η </w:t>
      </w:r>
      <w:r w:rsidR="00D432C7" w:rsidRPr="007A77EF">
        <w:rPr>
          <w:color w:val="auto"/>
          <w:lang w:val="en-GB"/>
        </w:rPr>
        <w:t>= .28) and lateral-</w:t>
      </w:r>
      <w:r w:rsidR="004C43D6" w:rsidRPr="007A77EF">
        <w:rPr>
          <w:color w:val="auto"/>
          <w:lang w:val="en-GB"/>
        </w:rPr>
        <w:t xml:space="preserve">left (F(1,19) = 11.26, p=.003, </w:t>
      </w:r>
      <w:r w:rsidR="004C43D6" w:rsidRPr="007A77EF">
        <w:rPr>
          <w:rFonts w:hAnsi="Times New Roman"/>
          <w:color w:val="auto"/>
          <w:lang w:val="en-GB"/>
        </w:rPr>
        <w:t xml:space="preserve">η </w:t>
      </w:r>
      <w:r w:rsidR="004C43D6" w:rsidRPr="007A77EF">
        <w:rPr>
          <w:color w:val="auto"/>
          <w:lang w:val="en-GB"/>
        </w:rPr>
        <w:t>= .37)</w:t>
      </w:r>
      <w:r w:rsidR="00606C2E" w:rsidRPr="007A77EF">
        <w:rPr>
          <w:color w:val="auto"/>
          <w:lang w:val="en-GB"/>
        </w:rPr>
        <w:t xml:space="preserve"> (</w:t>
      </w:r>
      <w:r w:rsidR="002A515F" w:rsidRPr="007A77EF">
        <w:rPr>
          <w:color w:val="auto"/>
          <w:lang w:val="en-GB"/>
        </w:rPr>
        <w:t>Fig.</w:t>
      </w:r>
      <w:r w:rsidR="00463ABB" w:rsidRPr="007A77EF">
        <w:rPr>
          <w:color w:val="auto"/>
          <w:lang w:val="en-GB"/>
        </w:rPr>
        <w:t xml:space="preserve"> 4</w:t>
      </w:r>
      <w:r w:rsidR="00606C2E" w:rsidRPr="007A77EF">
        <w:rPr>
          <w:color w:val="auto"/>
          <w:lang w:val="en-GB"/>
        </w:rPr>
        <w:t>)</w:t>
      </w:r>
      <w:r w:rsidR="00EA3B0E" w:rsidRPr="007A77EF">
        <w:rPr>
          <w:color w:val="auto"/>
          <w:lang w:val="en-GB"/>
        </w:rPr>
        <w:t>.</w:t>
      </w:r>
      <w:r w:rsidR="00F74B73" w:rsidRPr="007A77EF">
        <w:rPr>
          <w:color w:val="auto"/>
          <w:lang w:val="en-GB"/>
        </w:rPr>
        <w:t xml:space="preserve"> </w:t>
      </w:r>
    </w:p>
    <w:p w14:paraId="3CA9DA14" w14:textId="755C2D0D" w:rsidR="00F74B73" w:rsidRPr="007A77EF" w:rsidRDefault="009778E9" w:rsidP="00463ABB">
      <w:pPr>
        <w:pStyle w:val="BodyA"/>
        <w:spacing w:line="480" w:lineRule="auto"/>
        <w:jc w:val="center"/>
        <w:rPr>
          <w:color w:val="auto"/>
          <w:lang w:val="en-GB"/>
        </w:rPr>
      </w:pPr>
      <w:r w:rsidRPr="007A77EF">
        <w:rPr>
          <w:noProof/>
          <w:color w:val="auto"/>
          <w:lang w:eastAsia="en-US"/>
        </w:rPr>
        <w:lastRenderedPageBreak/>
        <w:drawing>
          <wp:inline distT="0" distB="0" distL="0" distR="0" wp14:anchorId="6C39531E" wp14:editId="08CBF3E6">
            <wp:extent cx="3705225" cy="30696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mp"/>
                    <pic:cNvPicPr/>
                  </pic:nvPicPr>
                  <pic:blipFill>
                    <a:blip r:embed="rId13">
                      <a:extLst>
                        <a:ext uri="{28A0092B-C50C-407E-A947-70E740481C1C}">
                          <a14:useLocalDpi xmlns:a14="http://schemas.microsoft.com/office/drawing/2010/main" val="0"/>
                        </a:ext>
                      </a:extLst>
                    </a:blip>
                    <a:stretch>
                      <a:fillRect/>
                    </a:stretch>
                  </pic:blipFill>
                  <pic:spPr>
                    <a:xfrm>
                      <a:off x="0" y="0"/>
                      <a:ext cx="3704762" cy="3069274"/>
                    </a:xfrm>
                    <a:prstGeom prst="rect">
                      <a:avLst/>
                    </a:prstGeom>
                  </pic:spPr>
                </pic:pic>
              </a:graphicData>
            </a:graphic>
          </wp:inline>
        </w:drawing>
      </w:r>
    </w:p>
    <w:p w14:paraId="56073959" w14:textId="4C310043" w:rsidR="00F74B73" w:rsidRPr="007A77EF" w:rsidRDefault="00F74B73" w:rsidP="00F74B73">
      <w:pPr>
        <w:pStyle w:val="BodyA"/>
        <w:spacing w:line="480" w:lineRule="auto"/>
        <w:rPr>
          <w:b/>
          <w:color w:val="auto"/>
          <w:lang w:val="en-GB"/>
        </w:rPr>
      </w:pPr>
      <w:r w:rsidRPr="007A77EF">
        <w:rPr>
          <w:b/>
          <w:color w:val="auto"/>
          <w:lang w:val="en-GB"/>
        </w:rPr>
        <w:t xml:space="preserve">Figure 4. Main effect of condition in the HbO data. Heat-map represents mean values for </w:t>
      </w:r>
      <w:r w:rsidR="009778E9" w:rsidRPr="007A77EF">
        <w:rPr>
          <w:b/>
          <w:i/>
          <w:color w:val="auto"/>
          <w:lang w:val="en-GB"/>
        </w:rPr>
        <w:t>othe</w:t>
      </w:r>
      <w:r w:rsidRPr="007A77EF">
        <w:rPr>
          <w:b/>
          <w:i/>
          <w:color w:val="auto"/>
          <w:lang w:val="en-GB"/>
        </w:rPr>
        <w:t>r</w:t>
      </w:r>
      <w:r w:rsidR="009778E9" w:rsidRPr="007A77EF">
        <w:rPr>
          <w:b/>
          <w:i/>
          <w:color w:val="auto"/>
          <w:lang w:val="en-GB"/>
        </w:rPr>
        <w:t xml:space="preserve"> </w:t>
      </w:r>
      <w:r w:rsidR="0035252E" w:rsidRPr="007A77EF">
        <w:rPr>
          <w:b/>
          <w:i/>
          <w:color w:val="auto"/>
          <w:lang w:val="en-GB"/>
        </w:rPr>
        <w:t>minus</w:t>
      </w:r>
      <w:r w:rsidR="009B3297" w:rsidRPr="007A77EF">
        <w:rPr>
          <w:b/>
          <w:i/>
          <w:color w:val="auto"/>
          <w:lang w:val="en-GB"/>
        </w:rPr>
        <w:t xml:space="preserve"> self </w:t>
      </w:r>
      <w:r w:rsidR="00CC5C36" w:rsidRPr="007A77EF">
        <w:rPr>
          <w:b/>
          <w:color w:val="auto"/>
          <w:lang w:val="en-GB"/>
        </w:rPr>
        <w:t>condition (N=19</w:t>
      </w:r>
      <w:r w:rsidRPr="007A77EF">
        <w:rPr>
          <w:b/>
          <w:color w:val="auto"/>
          <w:lang w:val="en-GB"/>
        </w:rPr>
        <w:t>)</w:t>
      </w:r>
    </w:p>
    <w:p w14:paraId="3B06AE57" w14:textId="77777777" w:rsidR="0035252E" w:rsidRPr="007A77EF" w:rsidRDefault="0035252E" w:rsidP="00CC5C36">
      <w:pPr>
        <w:pStyle w:val="BodyA"/>
        <w:spacing w:line="480" w:lineRule="auto"/>
        <w:rPr>
          <w:color w:val="auto"/>
          <w:lang w:val="en-GB"/>
        </w:rPr>
      </w:pPr>
    </w:p>
    <w:p w14:paraId="79BC5DF2" w14:textId="368B5DB3" w:rsidR="00F74B73" w:rsidRPr="007A77EF" w:rsidRDefault="0067569E" w:rsidP="00CC5C36">
      <w:pPr>
        <w:pStyle w:val="BodyA"/>
        <w:spacing w:line="480" w:lineRule="auto"/>
        <w:rPr>
          <w:rFonts w:hAnsi="Times New Roman" w:cs="Times New Roman"/>
          <w:color w:val="auto"/>
          <w:lang w:val="en-GB"/>
        </w:rPr>
      </w:pPr>
      <w:r w:rsidRPr="007A77EF">
        <w:rPr>
          <w:color w:val="auto"/>
          <w:lang w:val="en-GB"/>
        </w:rPr>
        <w:t xml:space="preserve">Table 1 displays the mean values for each ROI of the HbO data for </w:t>
      </w:r>
      <w:r w:rsidR="004A33B1" w:rsidRPr="007A77EF">
        <w:rPr>
          <w:color w:val="auto"/>
          <w:lang w:val="en-GB"/>
        </w:rPr>
        <w:t xml:space="preserve">the </w:t>
      </w:r>
      <w:r w:rsidR="004A33B1" w:rsidRPr="007A77EF">
        <w:rPr>
          <w:i/>
          <w:color w:val="auto"/>
          <w:lang w:val="en-GB"/>
        </w:rPr>
        <w:t>self/other</w:t>
      </w:r>
      <w:r w:rsidRPr="007A77EF">
        <w:rPr>
          <w:color w:val="auto"/>
          <w:lang w:val="en-GB"/>
        </w:rPr>
        <w:t xml:space="preserve"> </w:t>
      </w:r>
      <w:r w:rsidRPr="007A77EF">
        <w:rPr>
          <w:rFonts w:hAnsi="Times New Roman" w:cs="Times New Roman"/>
          <w:color w:val="auto"/>
          <w:lang w:val="en-GB"/>
        </w:rPr>
        <w:t>condition.</w:t>
      </w:r>
      <w:r w:rsidR="0035252E" w:rsidRPr="007A77EF">
        <w:rPr>
          <w:rFonts w:hAnsi="Times New Roman" w:cs="Times New Roman"/>
          <w:color w:val="auto"/>
          <w:lang w:val="en-GB"/>
        </w:rPr>
        <w:t xml:space="preserve"> </w:t>
      </w:r>
      <w:r w:rsidR="0035252E" w:rsidRPr="007A77EF">
        <w:rPr>
          <w:color w:val="auto"/>
          <w:lang w:val="en-GB"/>
        </w:rPr>
        <w:t>The medial-right area showed a trend in the expected direction but did not reach significance (</w:t>
      </w:r>
      <w:proofErr w:type="gramStart"/>
      <w:r w:rsidR="0035252E" w:rsidRPr="007A77EF">
        <w:rPr>
          <w:color w:val="auto"/>
          <w:lang w:val="en-GB"/>
        </w:rPr>
        <w:t>F(</w:t>
      </w:r>
      <w:proofErr w:type="gramEnd"/>
      <w:r w:rsidR="0035252E" w:rsidRPr="007A77EF">
        <w:rPr>
          <w:color w:val="auto"/>
          <w:lang w:val="en-GB"/>
        </w:rPr>
        <w:t xml:space="preserve">1,18) = 3.23, p=.08, </w:t>
      </w:r>
      <w:r w:rsidR="0035252E" w:rsidRPr="007A77EF">
        <w:rPr>
          <w:rFonts w:hAnsi="Times New Roman"/>
          <w:color w:val="auto"/>
          <w:lang w:val="en-GB"/>
        </w:rPr>
        <w:t xml:space="preserve">η </w:t>
      </w:r>
      <w:r w:rsidR="0035252E" w:rsidRPr="007A77EF">
        <w:rPr>
          <w:color w:val="auto"/>
          <w:lang w:val="en-GB"/>
        </w:rPr>
        <w:t>= .15).</w:t>
      </w:r>
    </w:p>
    <w:p w14:paraId="0371451C" w14:textId="77777777" w:rsidR="0067569E" w:rsidRPr="007A77EF" w:rsidRDefault="0067569E" w:rsidP="00CC5C36">
      <w:pPr>
        <w:pStyle w:val="BodyA"/>
        <w:spacing w:line="480" w:lineRule="auto"/>
        <w:rPr>
          <w:rFonts w:hAnsi="Times New Roman" w:cs="Times New Roman"/>
          <w:color w:val="auto"/>
          <w:lang w:val="en-GB"/>
        </w:rPr>
      </w:pPr>
    </w:p>
    <w:tbl>
      <w:tblPr>
        <w:tblW w:w="9300" w:type="dxa"/>
        <w:tblInd w:w="93" w:type="dxa"/>
        <w:tblLook w:val="04A0" w:firstRow="1" w:lastRow="0" w:firstColumn="1" w:lastColumn="0" w:noHBand="0" w:noVBand="1"/>
      </w:tblPr>
      <w:tblGrid>
        <w:gridCol w:w="1173"/>
        <w:gridCol w:w="1147"/>
        <w:gridCol w:w="837"/>
        <w:gridCol w:w="1146"/>
        <w:gridCol w:w="836"/>
        <w:gridCol w:w="1146"/>
        <w:gridCol w:w="836"/>
        <w:gridCol w:w="1146"/>
        <w:gridCol w:w="1033"/>
        <w:gridCol w:w="222"/>
      </w:tblGrid>
      <w:tr w:rsidR="004A33B1" w:rsidRPr="007A77EF" w14:paraId="6A835F6F" w14:textId="77777777" w:rsidTr="004A33B1">
        <w:trPr>
          <w:gridAfter w:val="1"/>
          <w:trHeight w:val="315"/>
        </w:trPr>
        <w:tc>
          <w:tcPr>
            <w:tcW w:w="8267" w:type="dxa"/>
            <w:gridSpan w:val="8"/>
            <w:tcBorders>
              <w:top w:val="nil"/>
              <w:left w:val="nil"/>
              <w:bottom w:val="nil"/>
              <w:right w:val="nil"/>
            </w:tcBorders>
            <w:shd w:val="clear" w:color="auto" w:fill="auto"/>
            <w:noWrap/>
            <w:vAlign w:val="center"/>
            <w:hideMark/>
          </w:tcPr>
          <w:p w14:paraId="3C25CE7A"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eastAsia="Times New Roman"/>
                <w:b/>
                <w:bCs/>
                <w:bdr w:val="none" w:sz="0" w:space="0" w:color="auto"/>
                <w:lang w:eastAsia="en-GB"/>
              </w:rPr>
            </w:pPr>
            <w:r w:rsidRPr="007A77EF">
              <w:rPr>
                <w:rFonts w:eastAsia="Times New Roman"/>
                <w:b/>
                <w:bCs/>
                <w:bdr w:val="none" w:sz="0" w:space="0" w:color="auto"/>
                <w:lang w:eastAsia="en-GB"/>
              </w:rPr>
              <w:t xml:space="preserve">Table 1. Mean HbO for each ROI for the </w:t>
            </w:r>
            <w:r w:rsidRPr="007A77EF">
              <w:rPr>
                <w:rFonts w:eastAsia="Times New Roman"/>
                <w:b/>
                <w:bCs/>
                <w:i/>
                <w:iCs/>
                <w:bdr w:val="none" w:sz="0" w:space="0" w:color="auto"/>
                <w:lang w:eastAsia="en-GB"/>
              </w:rPr>
              <w:t>self/other</w:t>
            </w:r>
            <w:r w:rsidRPr="007A77EF">
              <w:rPr>
                <w:rFonts w:eastAsia="Times New Roman"/>
                <w:b/>
                <w:bCs/>
                <w:bdr w:val="none" w:sz="0" w:space="0" w:color="auto"/>
                <w:lang w:eastAsia="en-GB"/>
              </w:rPr>
              <w:t xml:space="preserve"> condition (N=19).</w:t>
            </w:r>
          </w:p>
        </w:tc>
        <w:tc>
          <w:tcPr>
            <w:tcW w:w="1033" w:type="dxa"/>
            <w:tcBorders>
              <w:top w:val="nil"/>
              <w:left w:val="nil"/>
              <w:bottom w:val="nil"/>
              <w:right w:val="nil"/>
            </w:tcBorders>
            <w:shd w:val="clear" w:color="auto" w:fill="auto"/>
            <w:noWrap/>
            <w:vAlign w:val="bottom"/>
            <w:hideMark/>
          </w:tcPr>
          <w:p w14:paraId="116F00EE"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eastAsia="Times New Roman"/>
                <w:bdr w:val="none" w:sz="0" w:space="0" w:color="auto"/>
                <w:lang w:eastAsia="en-GB"/>
              </w:rPr>
            </w:pPr>
          </w:p>
        </w:tc>
      </w:tr>
      <w:tr w:rsidR="004A33B1" w:rsidRPr="007A77EF" w14:paraId="7A4C17A4" w14:textId="77777777" w:rsidTr="004A33B1">
        <w:trPr>
          <w:gridAfter w:val="1"/>
          <w:trHeight w:val="323"/>
        </w:trPr>
        <w:tc>
          <w:tcPr>
            <w:tcW w:w="1173" w:type="dxa"/>
            <w:tcBorders>
              <w:top w:val="nil"/>
              <w:left w:val="nil"/>
              <w:bottom w:val="nil"/>
              <w:right w:val="nil"/>
            </w:tcBorders>
            <w:shd w:val="clear" w:color="auto" w:fill="auto"/>
            <w:noWrap/>
            <w:vAlign w:val="bottom"/>
            <w:hideMark/>
          </w:tcPr>
          <w:p w14:paraId="4CF10F46"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eastAsia="Times New Roman"/>
                <w:bdr w:val="none" w:sz="0" w:space="0" w:color="auto"/>
                <w:lang w:eastAsia="en-GB"/>
              </w:rPr>
            </w:pPr>
          </w:p>
        </w:tc>
        <w:tc>
          <w:tcPr>
            <w:tcW w:w="1984" w:type="dxa"/>
            <w:gridSpan w:val="2"/>
            <w:tcBorders>
              <w:top w:val="nil"/>
              <w:left w:val="nil"/>
              <w:bottom w:val="single" w:sz="8" w:space="0" w:color="auto"/>
              <w:right w:val="nil"/>
            </w:tcBorders>
            <w:shd w:val="clear" w:color="auto" w:fill="auto"/>
            <w:noWrap/>
            <w:vAlign w:val="center"/>
            <w:hideMark/>
          </w:tcPr>
          <w:p w14:paraId="56E3C420" w14:textId="7C06A7AF"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Lateral</w:t>
            </w:r>
            <w:r w:rsidR="00901AFB" w:rsidRPr="007A77EF">
              <w:rPr>
                <w:rFonts w:eastAsia="Times New Roman"/>
                <w:bdr w:val="none" w:sz="0" w:space="0" w:color="auto"/>
                <w:lang w:eastAsia="en-GB"/>
              </w:rPr>
              <w:t xml:space="preserve"> -</w:t>
            </w:r>
            <w:r w:rsidRPr="007A77EF">
              <w:rPr>
                <w:rFonts w:eastAsia="Times New Roman"/>
                <w:bdr w:val="none" w:sz="0" w:space="0" w:color="auto"/>
                <w:lang w:eastAsia="en-GB"/>
              </w:rPr>
              <w:t xml:space="preserve"> Right</w:t>
            </w:r>
          </w:p>
        </w:tc>
        <w:tc>
          <w:tcPr>
            <w:tcW w:w="1982" w:type="dxa"/>
            <w:gridSpan w:val="2"/>
            <w:tcBorders>
              <w:top w:val="nil"/>
              <w:left w:val="nil"/>
              <w:bottom w:val="single" w:sz="8" w:space="0" w:color="auto"/>
              <w:right w:val="nil"/>
            </w:tcBorders>
            <w:shd w:val="clear" w:color="auto" w:fill="auto"/>
            <w:noWrap/>
            <w:vAlign w:val="center"/>
            <w:hideMark/>
          </w:tcPr>
          <w:p w14:paraId="7AE7D557" w14:textId="2AF7BF90"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 xml:space="preserve">Medial </w:t>
            </w:r>
            <w:r w:rsidR="00901AFB" w:rsidRPr="007A77EF">
              <w:rPr>
                <w:rFonts w:eastAsia="Times New Roman"/>
                <w:bdr w:val="none" w:sz="0" w:space="0" w:color="auto"/>
                <w:lang w:eastAsia="en-GB"/>
              </w:rPr>
              <w:t xml:space="preserve">- </w:t>
            </w:r>
            <w:r w:rsidRPr="007A77EF">
              <w:rPr>
                <w:rFonts w:eastAsia="Times New Roman"/>
                <w:bdr w:val="none" w:sz="0" w:space="0" w:color="auto"/>
                <w:lang w:eastAsia="en-GB"/>
              </w:rPr>
              <w:t>Right</w:t>
            </w:r>
          </w:p>
        </w:tc>
        <w:tc>
          <w:tcPr>
            <w:tcW w:w="1982" w:type="dxa"/>
            <w:gridSpan w:val="2"/>
            <w:tcBorders>
              <w:top w:val="nil"/>
              <w:left w:val="nil"/>
              <w:bottom w:val="single" w:sz="8" w:space="0" w:color="auto"/>
              <w:right w:val="nil"/>
            </w:tcBorders>
            <w:shd w:val="clear" w:color="auto" w:fill="auto"/>
            <w:noWrap/>
            <w:vAlign w:val="center"/>
            <w:hideMark/>
          </w:tcPr>
          <w:p w14:paraId="2AF06304" w14:textId="335A716D"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 xml:space="preserve">Medial </w:t>
            </w:r>
            <w:r w:rsidR="00901AFB" w:rsidRPr="007A77EF">
              <w:rPr>
                <w:rFonts w:eastAsia="Times New Roman"/>
                <w:bdr w:val="none" w:sz="0" w:space="0" w:color="auto"/>
                <w:lang w:eastAsia="en-GB"/>
              </w:rPr>
              <w:t xml:space="preserve">- </w:t>
            </w:r>
            <w:r w:rsidRPr="007A77EF">
              <w:rPr>
                <w:rFonts w:eastAsia="Times New Roman"/>
                <w:bdr w:val="none" w:sz="0" w:space="0" w:color="auto"/>
                <w:lang w:eastAsia="en-GB"/>
              </w:rPr>
              <w:t>Left</w:t>
            </w:r>
          </w:p>
        </w:tc>
        <w:tc>
          <w:tcPr>
            <w:tcW w:w="2179" w:type="dxa"/>
            <w:gridSpan w:val="2"/>
            <w:tcBorders>
              <w:top w:val="nil"/>
              <w:left w:val="nil"/>
              <w:bottom w:val="single" w:sz="8" w:space="0" w:color="auto"/>
              <w:right w:val="nil"/>
            </w:tcBorders>
            <w:shd w:val="clear" w:color="auto" w:fill="auto"/>
            <w:noWrap/>
            <w:vAlign w:val="center"/>
            <w:hideMark/>
          </w:tcPr>
          <w:p w14:paraId="63136665" w14:textId="2E21BD61"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 xml:space="preserve">Lateral </w:t>
            </w:r>
            <w:r w:rsidR="00901AFB" w:rsidRPr="007A77EF">
              <w:rPr>
                <w:rFonts w:eastAsia="Times New Roman"/>
                <w:bdr w:val="none" w:sz="0" w:space="0" w:color="auto"/>
                <w:lang w:eastAsia="en-GB"/>
              </w:rPr>
              <w:t xml:space="preserve">- </w:t>
            </w:r>
            <w:r w:rsidRPr="007A77EF">
              <w:rPr>
                <w:rFonts w:eastAsia="Times New Roman"/>
                <w:bdr w:val="none" w:sz="0" w:space="0" w:color="auto"/>
                <w:lang w:eastAsia="en-GB"/>
              </w:rPr>
              <w:t>Left</w:t>
            </w:r>
          </w:p>
        </w:tc>
      </w:tr>
      <w:tr w:rsidR="004A33B1" w:rsidRPr="007A77EF" w14:paraId="596FB565" w14:textId="77777777" w:rsidTr="004A33B1">
        <w:trPr>
          <w:gridAfter w:val="1"/>
          <w:trHeight w:val="315"/>
        </w:trPr>
        <w:tc>
          <w:tcPr>
            <w:tcW w:w="1173" w:type="dxa"/>
            <w:tcBorders>
              <w:top w:val="nil"/>
              <w:left w:val="nil"/>
              <w:bottom w:val="nil"/>
              <w:right w:val="nil"/>
            </w:tcBorders>
            <w:shd w:val="clear" w:color="auto" w:fill="auto"/>
            <w:noWrap/>
            <w:vAlign w:val="center"/>
            <w:hideMark/>
          </w:tcPr>
          <w:p w14:paraId="5433DE72"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eastAsia="Times New Roman"/>
                <w:bdr w:val="none" w:sz="0" w:space="0" w:color="auto"/>
                <w:lang w:eastAsia="en-GB"/>
              </w:rPr>
            </w:pPr>
          </w:p>
        </w:tc>
        <w:tc>
          <w:tcPr>
            <w:tcW w:w="1147" w:type="dxa"/>
            <w:tcBorders>
              <w:top w:val="nil"/>
              <w:left w:val="nil"/>
              <w:bottom w:val="nil"/>
              <w:right w:val="nil"/>
            </w:tcBorders>
            <w:shd w:val="clear" w:color="auto" w:fill="auto"/>
            <w:noWrap/>
            <w:vAlign w:val="center"/>
            <w:hideMark/>
          </w:tcPr>
          <w:p w14:paraId="64E99C98"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Mean</w:t>
            </w:r>
          </w:p>
        </w:tc>
        <w:tc>
          <w:tcPr>
            <w:tcW w:w="837" w:type="dxa"/>
            <w:tcBorders>
              <w:top w:val="nil"/>
              <w:left w:val="nil"/>
              <w:bottom w:val="nil"/>
              <w:right w:val="nil"/>
            </w:tcBorders>
            <w:shd w:val="clear" w:color="auto" w:fill="auto"/>
            <w:noWrap/>
            <w:vAlign w:val="center"/>
            <w:hideMark/>
          </w:tcPr>
          <w:p w14:paraId="7129639C"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s.d.</w:t>
            </w:r>
          </w:p>
        </w:tc>
        <w:tc>
          <w:tcPr>
            <w:tcW w:w="1146" w:type="dxa"/>
            <w:tcBorders>
              <w:top w:val="nil"/>
              <w:left w:val="nil"/>
              <w:bottom w:val="nil"/>
              <w:right w:val="nil"/>
            </w:tcBorders>
            <w:shd w:val="clear" w:color="auto" w:fill="auto"/>
            <w:noWrap/>
            <w:vAlign w:val="center"/>
            <w:hideMark/>
          </w:tcPr>
          <w:p w14:paraId="5BDF4331"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Mean</w:t>
            </w:r>
          </w:p>
        </w:tc>
        <w:tc>
          <w:tcPr>
            <w:tcW w:w="836" w:type="dxa"/>
            <w:tcBorders>
              <w:top w:val="nil"/>
              <w:left w:val="nil"/>
              <w:bottom w:val="nil"/>
              <w:right w:val="nil"/>
            </w:tcBorders>
            <w:shd w:val="clear" w:color="auto" w:fill="auto"/>
            <w:noWrap/>
            <w:vAlign w:val="center"/>
            <w:hideMark/>
          </w:tcPr>
          <w:p w14:paraId="1F21A1D1"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s.d.</w:t>
            </w:r>
          </w:p>
        </w:tc>
        <w:tc>
          <w:tcPr>
            <w:tcW w:w="1146" w:type="dxa"/>
            <w:tcBorders>
              <w:top w:val="nil"/>
              <w:left w:val="nil"/>
              <w:bottom w:val="nil"/>
              <w:right w:val="nil"/>
            </w:tcBorders>
            <w:shd w:val="clear" w:color="auto" w:fill="auto"/>
            <w:noWrap/>
            <w:vAlign w:val="center"/>
            <w:hideMark/>
          </w:tcPr>
          <w:p w14:paraId="6849A1CB"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Mean</w:t>
            </w:r>
          </w:p>
        </w:tc>
        <w:tc>
          <w:tcPr>
            <w:tcW w:w="836" w:type="dxa"/>
            <w:tcBorders>
              <w:top w:val="nil"/>
              <w:left w:val="nil"/>
              <w:bottom w:val="nil"/>
              <w:right w:val="nil"/>
            </w:tcBorders>
            <w:shd w:val="clear" w:color="auto" w:fill="auto"/>
            <w:noWrap/>
            <w:vAlign w:val="center"/>
            <w:hideMark/>
          </w:tcPr>
          <w:p w14:paraId="6BD0E4E6"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s.d.</w:t>
            </w:r>
          </w:p>
        </w:tc>
        <w:tc>
          <w:tcPr>
            <w:tcW w:w="1146" w:type="dxa"/>
            <w:tcBorders>
              <w:top w:val="nil"/>
              <w:left w:val="nil"/>
              <w:bottom w:val="nil"/>
              <w:right w:val="nil"/>
            </w:tcBorders>
            <w:shd w:val="clear" w:color="auto" w:fill="auto"/>
            <w:noWrap/>
            <w:vAlign w:val="center"/>
            <w:hideMark/>
          </w:tcPr>
          <w:p w14:paraId="47EA4AEF"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Mean</w:t>
            </w:r>
          </w:p>
        </w:tc>
        <w:tc>
          <w:tcPr>
            <w:tcW w:w="1033" w:type="dxa"/>
            <w:tcBorders>
              <w:top w:val="nil"/>
              <w:left w:val="nil"/>
              <w:bottom w:val="nil"/>
              <w:right w:val="nil"/>
            </w:tcBorders>
            <w:shd w:val="clear" w:color="auto" w:fill="auto"/>
            <w:noWrap/>
            <w:vAlign w:val="center"/>
            <w:hideMark/>
          </w:tcPr>
          <w:p w14:paraId="02498493"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s.d.</w:t>
            </w:r>
          </w:p>
        </w:tc>
      </w:tr>
      <w:tr w:rsidR="004A33B1" w:rsidRPr="007A77EF" w14:paraId="44E74B76" w14:textId="77777777" w:rsidTr="004A33B1">
        <w:trPr>
          <w:gridAfter w:val="1"/>
          <w:trHeight w:val="315"/>
        </w:trPr>
        <w:tc>
          <w:tcPr>
            <w:tcW w:w="1173" w:type="dxa"/>
            <w:tcBorders>
              <w:top w:val="nil"/>
              <w:left w:val="nil"/>
              <w:bottom w:val="nil"/>
              <w:right w:val="nil"/>
            </w:tcBorders>
            <w:shd w:val="clear" w:color="auto" w:fill="auto"/>
            <w:noWrap/>
            <w:vAlign w:val="center"/>
            <w:hideMark/>
          </w:tcPr>
          <w:p w14:paraId="2D8ED42A"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eastAsia="Times New Roman"/>
                <w:i/>
                <w:iCs/>
                <w:bdr w:val="none" w:sz="0" w:space="0" w:color="auto"/>
                <w:lang w:eastAsia="en-GB"/>
              </w:rPr>
            </w:pPr>
            <w:r w:rsidRPr="007A77EF">
              <w:rPr>
                <w:rFonts w:eastAsia="Times New Roman"/>
                <w:i/>
                <w:iCs/>
                <w:bdr w:val="none" w:sz="0" w:space="0" w:color="auto"/>
                <w:lang w:eastAsia="en-GB"/>
              </w:rPr>
              <w:t>Other</w:t>
            </w:r>
          </w:p>
        </w:tc>
        <w:tc>
          <w:tcPr>
            <w:tcW w:w="1147" w:type="dxa"/>
            <w:tcBorders>
              <w:top w:val="nil"/>
              <w:left w:val="nil"/>
              <w:bottom w:val="nil"/>
              <w:right w:val="nil"/>
            </w:tcBorders>
            <w:shd w:val="clear" w:color="auto" w:fill="auto"/>
            <w:noWrap/>
            <w:vAlign w:val="bottom"/>
            <w:hideMark/>
          </w:tcPr>
          <w:p w14:paraId="5B6E0C06"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Cs/>
                <w:bdr w:val="none" w:sz="0" w:space="0" w:color="auto"/>
                <w:lang w:eastAsia="en-GB"/>
              </w:rPr>
            </w:pPr>
            <w:r w:rsidRPr="007A77EF">
              <w:rPr>
                <w:rFonts w:eastAsia="Times New Roman"/>
                <w:bCs/>
                <w:bdr w:val="none" w:sz="0" w:space="0" w:color="auto"/>
                <w:lang w:eastAsia="en-GB"/>
              </w:rPr>
              <w:t>0.04</w:t>
            </w:r>
          </w:p>
        </w:tc>
        <w:tc>
          <w:tcPr>
            <w:tcW w:w="837" w:type="dxa"/>
            <w:tcBorders>
              <w:top w:val="nil"/>
              <w:left w:val="nil"/>
              <w:bottom w:val="nil"/>
              <w:right w:val="nil"/>
            </w:tcBorders>
            <w:shd w:val="clear" w:color="auto" w:fill="auto"/>
            <w:noWrap/>
            <w:vAlign w:val="bottom"/>
            <w:hideMark/>
          </w:tcPr>
          <w:p w14:paraId="27D027EF"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0.38</w:t>
            </w:r>
          </w:p>
        </w:tc>
        <w:tc>
          <w:tcPr>
            <w:tcW w:w="1146" w:type="dxa"/>
            <w:tcBorders>
              <w:top w:val="nil"/>
              <w:left w:val="nil"/>
              <w:bottom w:val="nil"/>
              <w:right w:val="nil"/>
            </w:tcBorders>
            <w:shd w:val="clear" w:color="auto" w:fill="auto"/>
            <w:noWrap/>
            <w:vAlign w:val="bottom"/>
            <w:hideMark/>
          </w:tcPr>
          <w:p w14:paraId="7798C8EC"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-0.15</w:t>
            </w:r>
          </w:p>
        </w:tc>
        <w:tc>
          <w:tcPr>
            <w:tcW w:w="836" w:type="dxa"/>
            <w:tcBorders>
              <w:top w:val="nil"/>
              <w:left w:val="nil"/>
              <w:bottom w:val="nil"/>
              <w:right w:val="nil"/>
            </w:tcBorders>
            <w:shd w:val="clear" w:color="auto" w:fill="auto"/>
            <w:noWrap/>
            <w:vAlign w:val="bottom"/>
            <w:hideMark/>
          </w:tcPr>
          <w:p w14:paraId="3B61026A"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0.40</w:t>
            </w:r>
          </w:p>
        </w:tc>
        <w:tc>
          <w:tcPr>
            <w:tcW w:w="1146" w:type="dxa"/>
            <w:tcBorders>
              <w:top w:val="nil"/>
              <w:left w:val="nil"/>
              <w:bottom w:val="nil"/>
              <w:right w:val="nil"/>
            </w:tcBorders>
            <w:shd w:val="clear" w:color="auto" w:fill="auto"/>
            <w:noWrap/>
            <w:vAlign w:val="bottom"/>
            <w:hideMark/>
          </w:tcPr>
          <w:p w14:paraId="13A67FF1"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Cs/>
                <w:bdr w:val="none" w:sz="0" w:space="0" w:color="auto"/>
                <w:lang w:eastAsia="en-GB"/>
              </w:rPr>
            </w:pPr>
            <w:r w:rsidRPr="007A77EF">
              <w:rPr>
                <w:rFonts w:eastAsia="Times New Roman"/>
                <w:bCs/>
                <w:bdr w:val="none" w:sz="0" w:space="0" w:color="auto"/>
                <w:lang w:eastAsia="en-GB"/>
              </w:rPr>
              <w:t>-0.11</w:t>
            </w:r>
          </w:p>
        </w:tc>
        <w:tc>
          <w:tcPr>
            <w:tcW w:w="836" w:type="dxa"/>
            <w:tcBorders>
              <w:top w:val="nil"/>
              <w:left w:val="nil"/>
              <w:bottom w:val="nil"/>
              <w:right w:val="nil"/>
            </w:tcBorders>
            <w:shd w:val="clear" w:color="auto" w:fill="auto"/>
            <w:noWrap/>
            <w:vAlign w:val="bottom"/>
            <w:hideMark/>
          </w:tcPr>
          <w:p w14:paraId="7586F572"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0.38</w:t>
            </w:r>
          </w:p>
        </w:tc>
        <w:tc>
          <w:tcPr>
            <w:tcW w:w="1146" w:type="dxa"/>
            <w:tcBorders>
              <w:top w:val="nil"/>
              <w:left w:val="nil"/>
              <w:bottom w:val="nil"/>
              <w:right w:val="nil"/>
            </w:tcBorders>
            <w:shd w:val="clear" w:color="auto" w:fill="auto"/>
            <w:noWrap/>
            <w:vAlign w:val="bottom"/>
            <w:hideMark/>
          </w:tcPr>
          <w:p w14:paraId="55831FC2"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Cs/>
                <w:bdr w:val="none" w:sz="0" w:space="0" w:color="auto"/>
                <w:lang w:eastAsia="en-GB"/>
              </w:rPr>
            </w:pPr>
            <w:r w:rsidRPr="007A77EF">
              <w:rPr>
                <w:rFonts w:eastAsia="Times New Roman"/>
                <w:bCs/>
                <w:bdr w:val="none" w:sz="0" w:space="0" w:color="auto"/>
                <w:lang w:eastAsia="en-GB"/>
              </w:rPr>
              <w:t>0.03</w:t>
            </w:r>
          </w:p>
        </w:tc>
        <w:tc>
          <w:tcPr>
            <w:tcW w:w="1033" w:type="dxa"/>
            <w:tcBorders>
              <w:top w:val="nil"/>
              <w:left w:val="nil"/>
              <w:bottom w:val="nil"/>
              <w:right w:val="nil"/>
            </w:tcBorders>
            <w:shd w:val="clear" w:color="auto" w:fill="auto"/>
            <w:noWrap/>
            <w:vAlign w:val="bottom"/>
            <w:hideMark/>
          </w:tcPr>
          <w:p w14:paraId="22662D5F"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0.44</w:t>
            </w:r>
          </w:p>
        </w:tc>
      </w:tr>
      <w:tr w:rsidR="004A33B1" w:rsidRPr="007A77EF" w14:paraId="7EBE34A7" w14:textId="77777777" w:rsidTr="004A33B1">
        <w:trPr>
          <w:gridAfter w:val="1"/>
          <w:trHeight w:val="315"/>
        </w:trPr>
        <w:tc>
          <w:tcPr>
            <w:tcW w:w="1173" w:type="dxa"/>
            <w:tcBorders>
              <w:top w:val="nil"/>
              <w:left w:val="nil"/>
              <w:bottom w:val="nil"/>
              <w:right w:val="nil"/>
            </w:tcBorders>
            <w:shd w:val="clear" w:color="auto" w:fill="auto"/>
            <w:noWrap/>
            <w:vAlign w:val="center"/>
            <w:hideMark/>
          </w:tcPr>
          <w:p w14:paraId="7846BF50"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eastAsia="Times New Roman"/>
                <w:i/>
                <w:iCs/>
                <w:bdr w:val="none" w:sz="0" w:space="0" w:color="auto"/>
                <w:lang w:eastAsia="en-GB"/>
              </w:rPr>
            </w:pPr>
            <w:r w:rsidRPr="007A77EF">
              <w:rPr>
                <w:rFonts w:eastAsia="Times New Roman"/>
                <w:i/>
                <w:iCs/>
                <w:bdr w:val="none" w:sz="0" w:space="0" w:color="auto"/>
                <w:lang w:eastAsia="en-GB"/>
              </w:rPr>
              <w:t>Self</w:t>
            </w:r>
          </w:p>
        </w:tc>
        <w:tc>
          <w:tcPr>
            <w:tcW w:w="1147" w:type="dxa"/>
            <w:tcBorders>
              <w:top w:val="nil"/>
              <w:left w:val="nil"/>
              <w:bottom w:val="nil"/>
              <w:right w:val="nil"/>
            </w:tcBorders>
            <w:shd w:val="clear" w:color="auto" w:fill="auto"/>
            <w:noWrap/>
            <w:vAlign w:val="bottom"/>
            <w:hideMark/>
          </w:tcPr>
          <w:p w14:paraId="4D264AE9"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Cs/>
                <w:bdr w:val="none" w:sz="0" w:space="0" w:color="auto"/>
                <w:lang w:eastAsia="en-GB"/>
              </w:rPr>
            </w:pPr>
            <w:r w:rsidRPr="007A77EF">
              <w:rPr>
                <w:rFonts w:eastAsia="Times New Roman"/>
                <w:bCs/>
                <w:bdr w:val="none" w:sz="0" w:space="0" w:color="auto"/>
                <w:lang w:eastAsia="en-GB"/>
              </w:rPr>
              <w:t>-0.14</w:t>
            </w:r>
          </w:p>
        </w:tc>
        <w:tc>
          <w:tcPr>
            <w:tcW w:w="837" w:type="dxa"/>
            <w:tcBorders>
              <w:top w:val="nil"/>
              <w:left w:val="nil"/>
              <w:bottom w:val="nil"/>
              <w:right w:val="nil"/>
            </w:tcBorders>
            <w:shd w:val="clear" w:color="auto" w:fill="auto"/>
            <w:noWrap/>
            <w:vAlign w:val="bottom"/>
            <w:hideMark/>
          </w:tcPr>
          <w:p w14:paraId="5114A762"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0.32</w:t>
            </w:r>
          </w:p>
        </w:tc>
        <w:tc>
          <w:tcPr>
            <w:tcW w:w="1146" w:type="dxa"/>
            <w:tcBorders>
              <w:top w:val="nil"/>
              <w:left w:val="nil"/>
              <w:bottom w:val="nil"/>
              <w:right w:val="nil"/>
            </w:tcBorders>
            <w:shd w:val="clear" w:color="auto" w:fill="auto"/>
            <w:noWrap/>
            <w:vAlign w:val="bottom"/>
            <w:hideMark/>
          </w:tcPr>
          <w:p w14:paraId="2066332B"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-0.33</w:t>
            </w:r>
          </w:p>
        </w:tc>
        <w:tc>
          <w:tcPr>
            <w:tcW w:w="836" w:type="dxa"/>
            <w:tcBorders>
              <w:top w:val="nil"/>
              <w:left w:val="nil"/>
              <w:bottom w:val="nil"/>
              <w:right w:val="nil"/>
            </w:tcBorders>
            <w:shd w:val="clear" w:color="auto" w:fill="auto"/>
            <w:noWrap/>
            <w:vAlign w:val="bottom"/>
            <w:hideMark/>
          </w:tcPr>
          <w:p w14:paraId="0BC5C6ED"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0.47</w:t>
            </w:r>
          </w:p>
        </w:tc>
        <w:tc>
          <w:tcPr>
            <w:tcW w:w="1146" w:type="dxa"/>
            <w:tcBorders>
              <w:top w:val="nil"/>
              <w:left w:val="nil"/>
              <w:bottom w:val="nil"/>
              <w:right w:val="nil"/>
            </w:tcBorders>
            <w:shd w:val="clear" w:color="auto" w:fill="auto"/>
            <w:noWrap/>
            <w:vAlign w:val="bottom"/>
            <w:hideMark/>
          </w:tcPr>
          <w:p w14:paraId="3D6D1E75"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Cs/>
                <w:bdr w:val="none" w:sz="0" w:space="0" w:color="auto"/>
                <w:lang w:eastAsia="en-GB"/>
              </w:rPr>
            </w:pPr>
            <w:r w:rsidRPr="007A77EF">
              <w:rPr>
                <w:rFonts w:eastAsia="Times New Roman"/>
                <w:bCs/>
                <w:bdr w:val="none" w:sz="0" w:space="0" w:color="auto"/>
                <w:lang w:eastAsia="en-GB"/>
              </w:rPr>
              <w:t>-0.32</w:t>
            </w:r>
          </w:p>
        </w:tc>
        <w:tc>
          <w:tcPr>
            <w:tcW w:w="836" w:type="dxa"/>
            <w:tcBorders>
              <w:top w:val="nil"/>
              <w:left w:val="nil"/>
              <w:bottom w:val="nil"/>
              <w:right w:val="nil"/>
            </w:tcBorders>
            <w:shd w:val="clear" w:color="auto" w:fill="auto"/>
            <w:noWrap/>
            <w:vAlign w:val="bottom"/>
            <w:hideMark/>
          </w:tcPr>
          <w:p w14:paraId="1E36365D"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0.40</w:t>
            </w:r>
          </w:p>
        </w:tc>
        <w:tc>
          <w:tcPr>
            <w:tcW w:w="1146" w:type="dxa"/>
            <w:tcBorders>
              <w:top w:val="nil"/>
              <w:left w:val="nil"/>
              <w:bottom w:val="nil"/>
              <w:right w:val="nil"/>
            </w:tcBorders>
            <w:shd w:val="clear" w:color="auto" w:fill="auto"/>
            <w:noWrap/>
            <w:vAlign w:val="bottom"/>
            <w:hideMark/>
          </w:tcPr>
          <w:p w14:paraId="20D048AE"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Cs/>
                <w:bdr w:val="none" w:sz="0" w:space="0" w:color="auto"/>
                <w:lang w:eastAsia="en-GB"/>
              </w:rPr>
            </w:pPr>
            <w:r w:rsidRPr="007A77EF">
              <w:rPr>
                <w:rFonts w:eastAsia="Times New Roman"/>
                <w:bCs/>
                <w:bdr w:val="none" w:sz="0" w:space="0" w:color="auto"/>
                <w:lang w:eastAsia="en-GB"/>
              </w:rPr>
              <w:t>-0.21</w:t>
            </w:r>
          </w:p>
        </w:tc>
        <w:tc>
          <w:tcPr>
            <w:tcW w:w="1033" w:type="dxa"/>
            <w:tcBorders>
              <w:top w:val="nil"/>
              <w:left w:val="nil"/>
              <w:bottom w:val="nil"/>
              <w:right w:val="nil"/>
            </w:tcBorders>
            <w:shd w:val="clear" w:color="auto" w:fill="auto"/>
            <w:noWrap/>
            <w:vAlign w:val="bottom"/>
            <w:hideMark/>
          </w:tcPr>
          <w:p w14:paraId="71810C35"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r w:rsidRPr="007A77EF">
              <w:rPr>
                <w:rFonts w:eastAsia="Times New Roman"/>
                <w:bdr w:val="none" w:sz="0" w:space="0" w:color="auto"/>
                <w:lang w:eastAsia="en-GB"/>
              </w:rPr>
              <w:t>0.30</w:t>
            </w:r>
          </w:p>
        </w:tc>
      </w:tr>
      <w:tr w:rsidR="004A33B1" w:rsidRPr="007A77EF" w14:paraId="33F24351" w14:textId="77777777" w:rsidTr="004A33B1">
        <w:trPr>
          <w:trHeight w:val="315"/>
        </w:trPr>
        <w:tc>
          <w:tcPr>
            <w:tcW w:w="1173" w:type="dxa"/>
            <w:tcBorders>
              <w:top w:val="nil"/>
              <w:left w:val="nil"/>
              <w:bottom w:val="nil"/>
              <w:right w:val="nil"/>
            </w:tcBorders>
            <w:shd w:val="clear" w:color="auto" w:fill="auto"/>
            <w:noWrap/>
            <w:vAlign w:val="center"/>
            <w:hideMark/>
          </w:tcPr>
          <w:p w14:paraId="61F6DDFB"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eastAsia="Times New Roman"/>
                <w:bdr w:val="none" w:sz="0" w:space="0" w:color="auto"/>
                <w:lang w:eastAsia="en-GB"/>
              </w:rPr>
            </w:pPr>
          </w:p>
        </w:tc>
        <w:tc>
          <w:tcPr>
            <w:tcW w:w="1147" w:type="dxa"/>
            <w:tcBorders>
              <w:top w:val="nil"/>
              <w:left w:val="nil"/>
              <w:bottom w:val="nil"/>
              <w:right w:val="nil"/>
            </w:tcBorders>
            <w:shd w:val="clear" w:color="auto" w:fill="auto"/>
            <w:noWrap/>
            <w:vAlign w:val="center"/>
            <w:hideMark/>
          </w:tcPr>
          <w:p w14:paraId="56AED500"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
                <w:bCs/>
                <w:bdr w:val="none" w:sz="0" w:space="0" w:color="auto"/>
                <w:lang w:eastAsia="en-GB"/>
              </w:rPr>
            </w:pPr>
          </w:p>
        </w:tc>
        <w:tc>
          <w:tcPr>
            <w:tcW w:w="837" w:type="dxa"/>
            <w:tcBorders>
              <w:top w:val="nil"/>
              <w:left w:val="nil"/>
              <w:bottom w:val="nil"/>
              <w:right w:val="nil"/>
            </w:tcBorders>
            <w:shd w:val="clear" w:color="auto" w:fill="auto"/>
            <w:noWrap/>
            <w:vAlign w:val="center"/>
            <w:hideMark/>
          </w:tcPr>
          <w:p w14:paraId="0C2E53A5"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p>
        </w:tc>
        <w:tc>
          <w:tcPr>
            <w:tcW w:w="1146" w:type="dxa"/>
            <w:tcBorders>
              <w:top w:val="nil"/>
              <w:left w:val="nil"/>
              <w:bottom w:val="nil"/>
              <w:right w:val="nil"/>
            </w:tcBorders>
            <w:shd w:val="clear" w:color="auto" w:fill="auto"/>
            <w:noWrap/>
            <w:vAlign w:val="center"/>
            <w:hideMark/>
          </w:tcPr>
          <w:p w14:paraId="684B90F8"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
                <w:bCs/>
                <w:bdr w:val="none" w:sz="0" w:space="0" w:color="auto"/>
                <w:lang w:eastAsia="en-GB"/>
              </w:rPr>
            </w:pPr>
          </w:p>
        </w:tc>
        <w:tc>
          <w:tcPr>
            <w:tcW w:w="836" w:type="dxa"/>
            <w:tcBorders>
              <w:top w:val="nil"/>
              <w:left w:val="nil"/>
              <w:bottom w:val="nil"/>
              <w:right w:val="nil"/>
            </w:tcBorders>
            <w:shd w:val="clear" w:color="auto" w:fill="auto"/>
            <w:noWrap/>
            <w:vAlign w:val="center"/>
            <w:hideMark/>
          </w:tcPr>
          <w:p w14:paraId="3605647E"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p>
        </w:tc>
        <w:tc>
          <w:tcPr>
            <w:tcW w:w="1146" w:type="dxa"/>
            <w:tcBorders>
              <w:top w:val="nil"/>
              <w:left w:val="nil"/>
              <w:bottom w:val="nil"/>
              <w:right w:val="nil"/>
            </w:tcBorders>
            <w:shd w:val="clear" w:color="auto" w:fill="auto"/>
            <w:noWrap/>
            <w:vAlign w:val="center"/>
            <w:hideMark/>
          </w:tcPr>
          <w:p w14:paraId="07ED0CEB"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p>
        </w:tc>
        <w:tc>
          <w:tcPr>
            <w:tcW w:w="836" w:type="dxa"/>
            <w:tcBorders>
              <w:top w:val="nil"/>
              <w:left w:val="nil"/>
              <w:bottom w:val="nil"/>
              <w:right w:val="nil"/>
            </w:tcBorders>
            <w:shd w:val="clear" w:color="auto" w:fill="auto"/>
            <w:noWrap/>
            <w:vAlign w:val="center"/>
            <w:hideMark/>
          </w:tcPr>
          <w:p w14:paraId="2C15505D"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p>
        </w:tc>
        <w:tc>
          <w:tcPr>
            <w:tcW w:w="1146" w:type="dxa"/>
            <w:tcBorders>
              <w:top w:val="nil"/>
              <w:left w:val="nil"/>
              <w:bottom w:val="nil"/>
              <w:right w:val="nil"/>
            </w:tcBorders>
            <w:shd w:val="clear" w:color="auto" w:fill="auto"/>
            <w:noWrap/>
            <w:vAlign w:val="center"/>
            <w:hideMark/>
          </w:tcPr>
          <w:p w14:paraId="48B8D414"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p>
        </w:tc>
        <w:tc>
          <w:tcPr>
            <w:tcW w:w="1033" w:type="dxa"/>
            <w:tcBorders>
              <w:top w:val="nil"/>
              <w:left w:val="nil"/>
              <w:bottom w:val="nil"/>
              <w:right w:val="nil"/>
            </w:tcBorders>
            <w:shd w:val="clear" w:color="auto" w:fill="auto"/>
            <w:noWrap/>
            <w:vAlign w:val="center"/>
            <w:hideMark/>
          </w:tcPr>
          <w:p w14:paraId="75ACEA5D" w14:textId="77777777" w:rsidR="004A33B1" w:rsidRPr="007A77EF" w:rsidRDefault="004A33B1" w:rsidP="00CC5C3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lang w:eastAsia="en-GB"/>
              </w:rPr>
            </w:pPr>
          </w:p>
        </w:tc>
        <w:tc>
          <w:tcPr>
            <w:tcW w:w="0" w:type="auto"/>
          </w:tcPr>
          <w:p w14:paraId="05A7EF98" w14:textId="77777777" w:rsidR="004A33B1" w:rsidRPr="007A77EF" w:rsidRDefault="004A33B1"/>
        </w:tc>
      </w:tr>
      <w:tr w:rsidR="004A33B1" w:rsidRPr="007A77EF" w14:paraId="7851F8E2" w14:textId="77777777" w:rsidTr="004A33B1">
        <w:trPr>
          <w:gridAfter w:val="1"/>
          <w:trHeight w:val="315"/>
        </w:trPr>
        <w:tc>
          <w:tcPr>
            <w:tcW w:w="9300" w:type="dxa"/>
            <w:gridSpan w:val="9"/>
            <w:tcBorders>
              <w:top w:val="nil"/>
              <w:left w:val="nil"/>
              <w:bottom w:val="nil"/>
              <w:right w:val="nil"/>
            </w:tcBorders>
            <w:shd w:val="clear" w:color="auto" w:fill="auto"/>
            <w:noWrap/>
            <w:vAlign w:val="center"/>
            <w:hideMark/>
          </w:tcPr>
          <w:p w14:paraId="169F4CCC" w14:textId="76BBB13D" w:rsidR="004A33B1" w:rsidRPr="007A77EF" w:rsidRDefault="004A33B1" w:rsidP="008F1E67">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eastAsia="Times New Roman"/>
                <w:i/>
                <w:iCs/>
                <w:bdr w:val="none" w:sz="0" w:space="0" w:color="auto"/>
                <w:lang w:eastAsia="en-GB"/>
              </w:rPr>
            </w:pPr>
          </w:p>
        </w:tc>
      </w:tr>
    </w:tbl>
    <w:p w14:paraId="68D0353A" w14:textId="77777777" w:rsidR="0067569E" w:rsidRPr="007A77EF" w:rsidRDefault="0067569E" w:rsidP="00CC5C36">
      <w:pPr>
        <w:pStyle w:val="BodyA"/>
        <w:spacing w:line="480" w:lineRule="auto"/>
        <w:rPr>
          <w:rFonts w:hAnsi="Times New Roman" w:cs="Times New Roman"/>
          <w:color w:val="auto"/>
          <w:lang w:val="en-GB"/>
        </w:rPr>
      </w:pPr>
    </w:p>
    <w:p w14:paraId="5CDEC332" w14:textId="0C6D6593" w:rsidR="005009E8" w:rsidRPr="007A77EF" w:rsidRDefault="00754F61" w:rsidP="00CC5C36">
      <w:pPr>
        <w:pStyle w:val="BodyA"/>
        <w:spacing w:line="480" w:lineRule="auto"/>
        <w:ind w:firstLine="720"/>
        <w:rPr>
          <w:color w:val="auto"/>
          <w:lang w:val="en-GB"/>
        </w:rPr>
      </w:pPr>
      <w:r w:rsidRPr="007A77EF">
        <w:rPr>
          <w:rFonts w:hAnsi="Times New Roman" w:cs="Times New Roman"/>
          <w:color w:val="auto"/>
          <w:lang w:val="en-GB"/>
        </w:rPr>
        <w:t>It should be noted that neural activation of an area is als</w:t>
      </w:r>
      <w:r w:rsidR="00156409" w:rsidRPr="007A77EF">
        <w:rPr>
          <w:rFonts w:hAnsi="Times New Roman" w:cs="Times New Roman"/>
          <w:color w:val="auto"/>
          <w:lang w:val="en-GB"/>
        </w:rPr>
        <w:t>o reflected in a decrease of HHb</w:t>
      </w:r>
      <w:r w:rsidRPr="007A77EF">
        <w:rPr>
          <w:rFonts w:hAnsi="Times New Roman" w:cs="Times New Roman"/>
          <w:color w:val="auto"/>
          <w:lang w:val="en-GB"/>
        </w:rPr>
        <w:t xml:space="preserve">. </w:t>
      </w:r>
      <w:r w:rsidR="000C71E5" w:rsidRPr="007A77EF">
        <w:rPr>
          <w:rFonts w:hAnsi="Times New Roman" w:cs="Times New Roman"/>
          <w:color w:val="auto"/>
          <w:lang w:val="en-GB"/>
        </w:rPr>
        <w:t>The AN</w:t>
      </w:r>
      <w:r w:rsidR="00F74B73" w:rsidRPr="007A77EF">
        <w:rPr>
          <w:rFonts w:hAnsi="Times New Roman" w:cs="Times New Roman"/>
          <w:color w:val="auto"/>
          <w:lang w:val="en-GB"/>
        </w:rPr>
        <w:t>OVA</w:t>
      </w:r>
      <w:r w:rsidR="00F74B73" w:rsidRPr="007A77EF">
        <w:rPr>
          <w:color w:val="auto"/>
          <w:lang w:val="en-GB"/>
        </w:rPr>
        <w:t xml:space="preserve"> </w:t>
      </w:r>
      <w:r w:rsidR="000C71E5" w:rsidRPr="007A77EF">
        <w:rPr>
          <w:color w:val="auto"/>
          <w:lang w:val="en-GB"/>
        </w:rPr>
        <w:t xml:space="preserve">for </w:t>
      </w:r>
      <w:r w:rsidR="00F74B73" w:rsidRPr="007A77EF">
        <w:rPr>
          <w:color w:val="auto"/>
          <w:lang w:val="en-GB"/>
        </w:rPr>
        <w:t xml:space="preserve">HHb revealed no significant main effects.  However, there was a </w:t>
      </w:r>
      <w:r w:rsidR="00F74B73" w:rsidRPr="007A77EF">
        <w:rPr>
          <w:color w:val="auto"/>
          <w:lang w:val="en-GB"/>
        </w:rPr>
        <w:lastRenderedPageBreak/>
        <w:t xml:space="preserve">significant interaction </w:t>
      </w:r>
      <w:r w:rsidR="00B814C0" w:rsidRPr="007A77EF">
        <w:rPr>
          <w:color w:val="auto"/>
          <w:lang w:val="en-GB"/>
        </w:rPr>
        <w:t xml:space="preserve">between valence and self/other </w:t>
      </w:r>
      <w:r w:rsidR="00F74B73" w:rsidRPr="007A77EF">
        <w:rPr>
          <w:color w:val="auto"/>
          <w:lang w:val="en-GB"/>
        </w:rPr>
        <w:t xml:space="preserve">in </w:t>
      </w:r>
      <w:r w:rsidR="00EA3B0E" w:rsidRPr="007A77EF">
        <w:rPr>
          <w:color w:val="auto"/>
          <w:lang w:val="en-GB"/>
        </w:rPr>
        <w:t xml:space="preserve">the </w:t>
      </w:r>
      <w:r w:rsidR="000C71E5" w:rsidRPr="007A77EF">
        <w:rPr>
          <w:color w:val="auto"/>
          <w:lang w:val="en-GB"/>
        </w:rPr>
        <w:t>lateral</w:t>
      </w:r>
      <w:r w:rsidR="00D432C7" w:rsidRPr="007A77EF">
        <w:rPr>
          <w:color w:val="auto"/>
          <w:lang w:val="en-GB"/>
        </w:rPr>
        <w:t>-</w:t>
      </w:r>
      <w:r w:rsidR="00EA3B0E" w:rsidRPr="007A77EF">
        <w:rPr>
          <w:color w:val="auto"/>
          <w:lang w:val="en-GB"/>
        </w:rPr>
        <w:t xml:space="preserve">right </w:t>
      </w:r>
      <w:r w:rsidR="0024791B" w:rsidRPr="007A77EF">
        <w:rPr>
          <w:color w:val="auto"/>
          <w:lang w:val="en-GB"/>
        </w:rPr>
        <w:t>(</w:t>
      </w:r>
      <w:proofErr w:type="gramStart"/>
      <w:r w:rsidR="0024791B" w:rsidRPr="007A77EF">
        <w:rPr>
          <w:color w:val="auto"/>
          <w:lang w:val="en-GB"/>
        </w:rPr>
        <w:t>F(</w:t>
      </w:r>
      <w:proofErr w:type="gramEnd"/>
      <w:r w:rsidR="0024791B" w:rsidRPr="007A77EF">
        <w:rPr>
          <w:color w:val="auto"/>
          <w:lang w:val="en-GB"/>
        </w:rPr>
        <w:t>1,1</w:t>
      </w:r>
      <w:r w:rsidR="000C7071" w:rsidRPr="007A77EF">
        <w:rPr>
          <w:color w:val="auto"/>
          <w:lang w:val="en-GB"/>
        </w:rPr>
        <w:t>8</w:t>
      </w:r>
      <w:r w:rsidR="0024791B" w:rsidRPr="007A77EF">
        <w:rPr>
          <w:color w:val="auto"/>
          <w:lang w:val="en-GB"/>
        </w:rPr>
        <w:t xml:space="preserve">) = </w:t>
      </w:r>
      <w:r w:rsidR="000C7071" w:rsidRPr="007A77EF">
        <w:rPr>
          <w:color w:val="auto"/>
          <w:lang w:val="en-GB"/>
        </w:rPr>
        <w:t>8.62</w:t>
      </w:r>
      <w:r w:rsidR="000A4986" w:rsidRPr="007A77EF">
        <w:rPr>
          <w:color w:val="auto"/>
          <w:lang w:val="en-GB"/>
        </w:rPr>
        <w:t>, p=</w:t>
      </w:r>
      <w:r w:rsidR="00EA3B0E" w:rsidRPr="007A77EF">
        <w:rPr>
          <w:color w:val="auto"/>
          <w:lang w:val="en-GB"/>
        </w:rPr>
        <w:t>.0</w:t>
      </w:r>
      <w:r w:rsidR="000C7071" w:rsidRPr="007A77EF">
        <w:rPr>
          <w:color w:val="auto"/>
          <w:lang w:val="en-GB"/>
        </w:rPr>
        <w:t>09</w:t>
      </w:r>
      <w:r w:rsidR="00EA3B0E" w:rsidRPr="007A77EF">
        <w:rPr>
          <w:color w:val="auto"/>
          <w:lang w:val="en-GB"/>
        </w:rPr>
        <w:t xml:space="preserve">, </w:t>
      </w:r>
      <w:r w:rsidR="00EA3B0E" w:rsidRPr="007A77EF">
        <w:rPr>
          <w:rFonts w:hAnsi="Times New Roman"/>
          <w:color w:val="auto"/>
          <w:lang w:val="en-GB"/>
        </w:rPr>
        <w:t xml:space="preserve">η </w:t>
      </w:r>
      <w:r w:rsidR="00EA3B0E" w:rsidRPr="007A77EF">
        <w:rPr>
          <w:color w:val="auto"/>
          <w:lang w:val="en-GB"/>
        </w:rPr>
        <w:t>=</w:t>
      </w:r>
      <w:r w:rsidR="0024791B" w:rsidRPr="007A77EF">
        <w:rPr>
          <w:color w:val="auto"/>
          <w:lang w:val="en-GB"/>
        </w:rPr>
        <w:t xml:space="preserve"> .</w:t>
      </w:r>
      <w:r w:rsidR="000C7071" w:rsidRPr="007A77EF">
        <w:rPr>
          <w:color w:val="auto"/>
          <w:lang w:val="en-GB"/>
        </w:rPr>
        <w:t>3</w:t>
      </w:r>
      <w:r w:rsidR="0024791B" w:rsidRPr="007A77EF">
        <w:rPr>
          <w:color w:val="auto"/>
          <w:lang w:val="en-GB"/>
        </w:rPr>
        <w:t>2</w:t>
      </w:r>
      <w:r w:rsidR="007379FA" w:rsidRPr="007A77EF">
        <w:rPr>
          <w:color w:val="auto"/>
          <w:lang w:val="en-GB"/>
        </w:rPr>
        <w:t>)</w:t>
      </w:r>
      <w:r w:rsidR="000C71E5" w:rsidRPr="007A77EF">
        <w:rPr>
          <w:color w:val="auto"/>
          <w:lang w:val="en-GB"/>
        </w:rPr>
        <w:t xml:space="preserve"> and medial</w:t>
      </w:r>
      <w:r w:rsidR="00D432C7" w:rsidRPr="007A77EF">
        <w:rPr>
          <w:color w:val="auto"/>
          <w:lang w:val="en-GB"/>
        </w:rPr>
        <w:t>-</w:t>
      </w:r>
      <w:r w:rsidR="000C71E5" w:rsidRPr="007A77EF">
        <w:rPr>
          <w:color w:val="auto"/>
          <w:lang w:val="en-GB"/>
        </w:rPr>
        <w:t>right (F(1,1</w:t>
      </w:r>
      <w:r w:rsidR="000C7071" w:rsidRPr="007A77EF">
        <w:rPr>
          <w:color w:val="auto"/>
          <w:lang w:val="en-GB"/>
        </w:rPr>
        <w:t>7</w:t>
      </w:r>
      <w:r w:rsidR="000C71E5" w:rsidRPr="007A77EF">
        <w:rPr>
          <w:color w:val="auto"/>
          <w:lang w:val="en-GB"/>
        </w:rPr>
        <w:t xml:space="preserve">) = </w:t>
      </w:r>
      <w:r w:rsidR="000C7071" w:rsidRPr="007A77EF">
        <w:rPr>
          <w:color w:val="auto"/>
          <w:lang w:val="en-GB"/>
        </w:rPr>
        <w:t>6.17</w:t>
      </w:r>
      <w:r w:rsidR="000C71E5" w:rsidRPr="007A77EF">
        <w:rPr>
          <w:color w:val="auto"/>
          <w:lang w:val="en-GB"/>
        </w:rPr>
        <w:t>, p=.0</w:t>
      </w:r>
      <w:r w:rsidR="000C7071" w:rsidRPr="007A77EF">
        <w:rPr>
          <w:color w:val="auto"/>
          <w:lang w:val="en-GB"/>
        </w:rPr>
        <w:t>2</w:t>
      </w:r>
      <w:r w:rsidR="000C71E5" w:rsidRPr="007A77EF">
        <w:rPr>
          <w:color w:val="auto"/>
          <w:lang w:val="en-GB"/>
        </w:rPr>
        <w:t xml:space="preserve">, </w:t>
      </w:r>
      <w:r w:rsidR="000C71E5" w:rsidRPr="007A77EF">
        <w:rPr>
          <w:color w:val="auto"/>
          <w:lang w:val="en-GB"/>
        </w:rPr>
        <w:t>η</w:t>
      </w:r>
      <w:r w:rsidR="000C71E5" w:rsidRPr="007A77EF">
        <w:rPr>
          <w:color w:val="auto"/>
          <w:lang w:val="en-GB"/>
        </w:rPr>
        <w:t xml:space="preserve"> = .</w:t>
      </w:r>
      <w:r w:rsidR="000C7071" w:rsidRPr="007A77EF">
        <w:rPr>
          <w:color w:val="auto"/>
          <w:lang w:val="en-GB"/>
        </w:rPr>
        <w:t>26</w:t>
      </w:r>
      <w:r w:rsidR="000C71E5" w:rsidRPr="007A77EF">
        <w:rPr>
          <w:color w:val="auto"/>
          <w:lang w:val="en-GB"/>
        </w:rPr>
        <w:t>) ROI</w:t>
      </w:r>
      <w:r w:rsidR="007379FA" w:rsidRPr="007A77EF">
        <w:rPr>
          <w:color w:val="auto"/>
          <w:lang w:val="en-GB"/>
        </w:rPr>
        <w:t>.</w:t>
      </w:r>
      <w:r w:rsidR="00623CED" w:rsidRPr="007A77EF">
        <w:rPr>
          <w:color w:val="auto"/>
          <w:lang w:val="en-GB"/>
        </w:rPr>
        <w:t xml:space="preserve"> One outlier was removed from the lateral- and two from the medial-right ROI.</w:t>
      </w:r>
      <w:r w:rsidR="007379FA" w:rsidRPr="007A77EF">
        <w:rPr>
          <w:color w:val="auto"/>
          <w:lang w:val="en-GB"/>
        </w:rPr>
        <w:t xml:space="preserve"> </w:t>
      </w:r>
      <w:r w:rsidR="00311ACB" w:rsidRPr="007A77EF">
        <w:rPr>
          <w:color w:val="auto"/>
          <w:lang w:val="en-GB"/>
        </w:rPr>
        <w:t>P</w:t>
      </w:r>
      <w:r w:rsidR="00F74B73" w:rsidRPr="007A77EF">
        <w:rPr>
          <w:color w:val="auto"/>
          <w:lang w:val="en-GB"/>
        </w:rPr>
        <w:t xml:space="preserve">ost-hoc </w:t>
      </w:r>
      <w:r w:rsidR="007379FA" w:rsidRPr="007A77EF">
        <w:rPr>
          <w:color w:val="auto"/>
          <w:lang w:val="en-GB"/>
        </w:rPr>
        <w:t>t-test</w:t>
      </w:r>
      <w:r w:rsidR="00311ACB" w:rsidRPr="007A77EF">
        <w:rPr>
          <w:color w:val="auto"/>
          <w:lang w:val="en-GB"/>
        </w:rPr>
        <w:t>s</w:t>
      </w:r>
      <w:r w:rsidR="007379FA" w:rsidRPr="007A77EF">
        <w:rPr>
          <w:color w:val="auto"/>
          <w:lang w:val="en-GB"/>
        </w:rPr>
        <w:t xml:space="preserve"> </w:t>
      </w:r>
      <w:r w:rsidR="00D432C7" w:rsidRPr="007A77EF">
        <w:rPr>
          <w:color w:val="auto"/>
          <w:lang w:val="en-GB"/>
        </w:rPr>
        <w:t>at the lateral-</w:t>
      </w:r>
      <w:r w:rsidR="00B55860" w:rsidRPr="007A77EF">
        <w:rPr>
          <w:color w:val="auto"/>
          <w:lang w:val="en-GB"/>
        </w:rPr>
        <w:t xml:space="preserve">right ROI </w:t>
      </w:r>
      <w:r w:rsidR="00B814C0" w:rsidRPr="007A77EF">
        <w:rPr>
          <w:color w:val="auto"/>
          <w:lang w:val="en-GB"/>
        </w:rPr>
        <w:t>revealed</w:t>
      </w:r>
      <w:r w:rsidR="007379FA" w:rsidRPr="007A77EF">
        <w:rPr>
          <w:color w:val="auto"/>
          <w:lang w:val="en-GB"/>
        </w:rPr>
        <w:t xml:space="preserve"> </w:t>
      </w:r>
      <w:r w:rsidR="00F74B73" w:rsidRPr="007A77EF">
        <w:rPr>
          <w:color w:val="auto"/>
          <w:lang w:val="en-GB"/>
        </w:rPr>
        <w:t xml:space="preserve">that </w:t>
      </w:r>
      <w:r w:rsidR="00EA3B0E" w:rsidRPr="007A77EF">
        <w:rPr>
          <w:color w:val="auto"/>
          <w:lang w:val="en-GB"/>
        </w:rPr>
        <w:t>H</w:t>
      </w:r>
      <w:r w:rsidR="001F4AA8" w:rsidRPr="007A77EF">
        <w:rPr>
          <w:color w:val="auto"/>
          <w:lang w:val="en-GB"/>
        </w:rPr>
        <w:t>H</w:t>
      </w:r>
      <w:r w:rsidR="00EA3B0E" w:rsidRPr="007A77EF">
        <w:rPr>
          <w:color w:val="auto"/>
          <w:lang w:val="en-GB"/>
        </w:rPr>
        <w:t xml:space="preserve">b </w:t>
      </w:r>
      <w:r w:rsidR="00F74B73" w:rsidRPr="007A77EF">
        <w:rPr>
          <w:color w:val="auto"/>
          <w:lang w:val="en-GB"/>
        </w:rPr>
        <w:t xml:space="preserve">was significantly </w:t>
      </w:r>
      <w:r w:rsidR="00B814C0" w:rsidRPr="007A77EF">
        <w:rPr>
          <w:color w:val="auto"/>
          <w:lang w:val="en-GB"/>
        </w:rPr>
        <w:t xml:space="preserve">reduced in the </w:t>
      </w:r>
      <w:r w:rsidR="00B55860" w:rsidRPr="007A77EF">
        <w:rPr>
          <w:color w:val="auto"/>
          <w:lang w:val="en-GB"/>
        </w:rPr>
        <w:t xml:space="preserve">NO </w:t>
      </w:r>
      <w:r w:rsidR="005009E8" w:rsidRPr="007A77EF">
        <w:rPr>
          <w:color w:val="auto"/>
          <w:lang w:val="en-GB"/>
        </w:rPr>
        <w:t xml:space="preserve">condition </w:t>
      </w:r>
      <w:r w:rsidR="00B55860" w:rsidRPr="007A77EF">
        <w:rPr>
          <w:color w:val="auto"/>
          <w:lang w:val="en-GB"/>
        </w:rPr>
        <w:t>compared to NS</w:t>
      </w:r>
      <w:r w:rsidR="005009E8" w:rsidRPr="007A77EF">
        <w:rPr>
          <w:color w:val="auto"/>
          <w:lang w:val="en-GB"/>
        </w:rPr>
        <w:t xml:space="preserve"> </w:t>
      </w:r>
      <w:r w:rsidR="00B55860" w:rsidRPr="007A77EF">
        <w:rPr>
          <w:color w:val="auto"/>
          <w:lang w:val="en-GB"/>
        </w:rPr>
        <w:t>(</w:t>
      </w:r>
      <w:proofErr w:type="gramStart"/>
      <w:r w:rsidR="00B55860" w:rsidRPr="007A77EF">
        <w:rPr>
          <w:color w:val="auto"/>
          <w:lang w:val="en-GB"/>
        </w:rPr>
        <w:t>t</w:t>
      </w:r>
      <w:r w:rsidR="00611772" w:rsidRPr="007A77EF">
        <w:rPr>
          <w:color w:val="auto"/>
          <w:lang w:val="en-GB"/>
        </w:rPr>
        <w:t>(</w:t>
      </w:r>
      <w:proofErr w:type="gramEnd"/>
      <w:r w:rsidR="00611772" w:rsidRPr="007A77EF">
        <w:rPr>
          <w:color w:val="auto"/>
          <w:lang w:val="en-GB"/>
        </w:rPr>
        <w:t>18)</w:t>
      </w:r>
      <w:r w:rsidR="00B55860" w:rsidRPr="007A77EF">
        <w:rPr>
          <w:color w:val="auto"/>
          <w:lang w:val="en-GB"/>
        </w:rPr>
        <w:t xml:space="preserve"> = </w:t>
      </w:r>
      <w:r w:rsidR="00E54780" w:rsidRPr="007A77EF">
        <w:rPr>
          <w:color w:val="auto"/>
          <w:lang w:val="en-GB"/>
        </w:rPr>
        <w:t>2.30, p=.03</w:t>
      </w:r>
      <w:r w:rsidR="003D6D08" w:rsidRPr="007A77EF">
        <w:rPr>
          <w:color w:val="auto"/>
          <w:lang w:val="en-GB"/>
        </w:rPr>
        <w:t>) and PO (t(18) = 2.13, p=.04).</w:t>
      </w:r>
      <w:r w:rsidR="005009E8" w:rsidRPr="007A77EF">
        <w:rPr>
          <w:color w:val="auto"/>
          <w:lang w:val="en-GB"/>
        </w:rPr>
        <w:t xml:space="preserve">  In addition, HHb was significantly lower in PS compared to the </w:t>
      </w:r>
      <w:r w:rsidR="003D6D08" w:rsidRPr="007A77EF">
        <w:rPr>
          <w:color w:val="auto"/>
          <w:lang w:val="en-GB"/>
        </w:rPr>
        <w:t xml:space="preserve">PO </w:t>
      </w:r>
      <w:r w:rsidR="005009E8" w:rsidRPr="007A77EF">
        <w:rPr>
          <w:color w:val="auto"/>
          <w:lang w:val="en-GB"/>
        </w:rPr>
        <w:t>condition</w:t>
      </w:r>
      <w:r w:rsidR="00B55860" w:rsidRPr="007A77EF">
        <w:rPr>
          <w:color w:val="auto"/>
          <w:lang w:val="en-GB"/>
        </w:rPr>
        <w:t xml:space="preserve"> (</w:t>
      </w:r>
      <w:proofErr w:type="gramStart"/>
      <w:r w:rsidR="00B55860" w:rsidRPr="007A77EF">
        <w:rPr>
          <w:color w:val="auto"/>
          <w:lang w:val="en-GB"/>
        </w:rPr>
        <w:t>t</w:t>
      </w:r>
      <w:r w:rsidR="00611772" w:rsidRPr="007A77EF">
        <w:rPr>
          <w:color w:val="auto"/>
          <w:lang w:val="en-GB"/>
        </w:rPr>
        <w:t>(</w:t>
      </w:r>
      <w:proofErr w:type="gramEnd"/>
      <w:r w:rsidR="00611772" w:rsidRPr="007A77EF">
        <w:rPr>
          <w:color w:val="auto"/>
          <w:lang w:val="en-GB"/>
        </w:rPr>
        <w:t>18)</w:t>
      </w:r>
      <w:r w:rsidR="00B55860" w:rsidRPr="007A77EF">
        <w:rPr>
          <w:color w:val="auto"/>
          <w:lang w:val="en-GB"/>
        </w:rPr>
        <w:t xml:space="preserve"> = </w:t>
      </w:r>
      <w:r w:rsidR="00E54780" w:rsidRPr="007A77EF">
        <w:rPr>
          <w:color w:val="auto"/>
          <w:lang w:val="en-GB"/>
        </w:rPr>
        <w:t>2.62, p=.01</w:t>
      </w:r>
      <w:r w:rsidR="00B55860" w:rsidRPr="007A77EF">
        <w:rPr>
          <w:color w:val="auto"/>
          <w:lang w:val="en-GB"/>
        </w:rPr>
        <w:t>)</w:t>
      </w:r>
      <w:r w:rsidR="00345365" w:rsidRPr="007A77EF">
        <w:rPr>
          <w:color w:val="auto"/>
          <w:lang w:val="en-GB"/>
        </w:rPr>
        <w:t>.</w:t>
      </w:r>
    </w:p>
    <w:p w14:paraId="337E9173" w14:textId="68F34435" w:rsidR="008F1E67" w:rsidRPr="007A77EF" w:rsidRDefault="00D432C7" w:rsidP="00CC5C36">
      <w:pPr>
        <w:pStyle w:val="BodyA"/>
        <w:spacing w:line="480" w:lineRule="auto"/>
        <w:ind w:firstLine="720"/>
        <w:rPr>
          <w:color w:val="auto"/>
          <w:lang w:val="en-GB"/>
        </w:rPr>
      </w:pPr>
      <w:r w:rsidRPr="007A77EF">
        <w:rPr>
          <w:color w:val="auto"/>
          <w:lang w:val="en-GB"/>
        </w:rPr>
        <w:t xml:space="preserve"> </w:t>
      </w:r>
    </w:p>
    <w:p w14:paraId="7BD36B1A" w14:textId="594B7786" w:rsidR="008F1E67" w:rsidRPr="007A77EF" w:rsidRDefault="000666B6" w:rsidP="003D6D08">
      <w:pPr>
        <w:pStyle w:val="BodyA"/>
        <w:spacing w:line="480" w:lineRule="auto"/>
        <w:jc w:val="center"/>
        <w:rPr>
          <w:color w:val="auto"/>
          <w:lang w:val="en-GB"/>
        </w:rPr>
      </w:pPr>
      <w:r w:rsidRPr="007A77EF">
        <w:rPr>
          <w:noProof/>
          <w:color w:val="auto"/>
          <w:lang w:eastAsia="en-US"/>
        </w:rPr>
        <w:drawing>
          <wp:inline distT="0" distB="0" distL="0" distR="0" wp14:anchorId="3F35447E" wp14:editId="2FFA4FE2">
            <wp:extent cx="5052060" cy="3436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bmp"/>
                    <pic:cNvPicPr/>
                  </pic:nvPicPr>
                  <pic:blipFill>
                    <a:blip r:embed="rId14">
                      <a:extLst>
                        <a:ext uri="{28A0092B-C50C-407E-A947-70E740481C1C}">
                          <a14:useLocalDpi xmlns:a14="http://schemas.microsoft.com/office/drawing/2010/main" val="0"/>
                        </a:ext>
                      </a:extLst>
                    </a:blip>
                    <a:stretch>
                      <a:fillRect/>
                    </a:stretch>
                  </pic:blipFill>
                  <pic:spPr>
                    <a:xfrm>
                      <a:off x="0" y="0"/>
                      <a:ext cx="5059463" cy="3441220"/>
                    </a:xfrm>
                    <a:prstGeom prst="rect">
                      <a:avLst/>
                    </a:prstGeom>
                  </pic:spPr>
                </pic:pic>
              </a:graphicData>
            </a:graphic>
          </wp:inline>
        </w:drawing>
      </w:r>
    </w:p>
    <w:p w14:paraId="78C0AD1E" w14:textId="20CD6C67" w:rsidR="008F1E67" w:rsidRPr="007A77EF" w:rsidRDefault="008F1E67" w:rsidP="00320D49">
      <w:pPr>
        <w:pStyle w:val="BodyA"/>
        <w:spacing w:line="480" w:lineRule="auto"/>
        <w:ind w:firstLine="720"/>
        <w:rPr>
          <w:b/>
          <w:color w:val="auto"/>
          <w:lang w:val="en-GB"/>
        </w:rPr>
      </w:pPr>
      <w:r w:rsidRPr="007A77EF">
        <w:rPr>
          <w:b/>
          <w:color w:val="auto"/>
          <w:lang w:val="en-GB"/>
        </w:rPr>
        <w:t>Figure</w:t>
      </w:r>
      <w:r w:rsidR="003D6D08" w:rsidRPr="007A77EF">
        <w:rPr>
          <w:b/>
          <w:color w:val="auto"/>
          <w:lang w:val="en-GB"/>
        </w:rPr>
        <w:t xml:space="preserve"> 5. Mean </w:t>
      </w:r>
      <w:r w:rsidR="00D47334" w:rsidRPr="007A77EF">
        <w:rPr>
          <w:b/>
          <w:color w:val="auto"/>
          <w:lang w:val="en-GB"/>
        </w:rPr>
        <w:t xml:space="preserve">HHb </w:t>
      </w:r>
      <w:r w:rsidR="003D6D08" w:rsidRPr="007A77EF">
        <w:rPr>
          <w:b/>
          <w:color w:val="auto"/>
          <w:lang w:val="en-GB"/>
        </w:rPr>
        <w:t xml:space="preserve">values for the lateral-right ROI </w:t>
      </w:r>
      <w:r w:rsidR="00D47334" w:rsidRPr="007A77EF">
        <w:rPr>
          <w:b/>
          <w:color w:val="auto"/>
          <w:lang w:val="en-GB"/>
        </w:rPr>
        <w:t xml:space="preserve">of the rPFC. </w:t>
      </w:r>
      <w:r w:rsidR="003D6D08" w:rsidRPr="007A77EF">
        <w:rPr>
          <w:b/>
          <w:color w:val="auto"/>
          <w:lang w:val="en-GB"/>
        </w:rPr>
        <w:t>Error bars represent standard error</w:t>
      </w:r>
      <w:r w:rsidR="00D47334" w:rsidRPr="007A77EF">
        <w:rPr>
          <w:b/>
          <w:color w:val="auto"/>
          <w:lang w:val="en-GB"/>
        </w:rPr>
        <w:t xml:space="preserve"> (N=19)</w:t>
      </w:r>
      <w:r w:rsidR="003D6D08" w:rsidRPr="007A77EF">
        <w:rPr>
          <w:b/>
          <w:color w:val="auto"/>
          <w:lang w:val="en-GB"/>
        </w:rPr>
        <w:t>.</w:t>
      </w:r>
      <w:r w:rsidR="004D38DF" w:rsidRPr="007A77EF">
        <w:rPr>
          <w:b/>
          <w:color w:val="auto"/>
          <w:lang w:val="en-GB"/>
        </w:rPr>
        <w:t xml:space="preserve">  Brackets indicate statistically significant differences at p&lt;.05.</w:t>
      </w:r>
    </w:p>
    <w:p w14:paraId="45AF6D35" w14:textId="77777777" w:rsidR="002B1862" w:rsidRPr="007A77EF" w:rsidRDefault="002B1862" w:rsidP="008F1E67">
      <w:pPr>
        <w:pStyle w:val="BodyA"/>
        <w:spacing w:line="480" w:lineRule="auto"/>
        <w:rPr>
          <w:b/>
          <w:color w:val="auto"/>
          <w:lang w:val="en-GB"/>
        </w:rPr>
      </w:pPr>
    </w:p>
    <w:p w14:paraId="527EE0B0" w14:textId="2E88C79B" w:rsidR="00EA3B0E" w:rsidRPr="007A77EF" w:rsidRDefault="00D432C7" w:rsidP="00CC5C36">
      <w:pPr>
        <w:pStyle w:val="BodyA"/>
        <w:spacing w:line="480" w:lineRule="auto"/>
        <w:ind w:firstLine="720"/>
        <w:rPr>
          <w:color w:val="auto"/>
          <w:lang w:val="en-GB"/>
        </w:rPr>
      </w:pPr>
      <w:r w:rsidRPr="007A77EF">
        <w:rPr>
          <w:color w:val="auto"/>
          <w:lang w:val="en-GB"/>
        </w:rPr>
        <w:t>Post-hoc t-tests at the medial-</w:t>
      </w:r>
      <w:r w:rsidR="00311ACB" w:rsidRPr="007A77EF">
        <w:rPr>
          <w:color w:val="auto"/>
          <w:lang w:val="en-GB"/>
        </w:rPr>
        <w:t xml:space="preserve">right ROI </w:t>
      </w:r>
      <w:r w:rsidR="00D47334" w:rsidRPr="007A77EF">
        <w:rPr>
          <w:color w:val="auto"/>
          <w:lang w:val="en-GB"/>
        </w:rPr>
        <w:t>revealed that</w:t>
      </w:r>
      <w:r w:rsidR="00311ACB" w:rsidRPr="007A77EF">
        <w:rPr>
          <w:color w:val="auto"/>
          <w:lang w:val="en-GB"/>
        </w:rPr>
        <w:t xml:space="preserve"> </w:t>
      </w:r>
      <w:r w:rsidR="00D47334" w:rsidRPr="007A77EF">
        <w:rPr>
          <w:color w:val="auto"/>
          <w:lang w:val="en-GB"/>
        </w:rPr>
        <w:t xml:space="preserve">mean </w:t>
      </w:r>
      <w:r w:rsidR="00311ACB" w:rsidRPr="007A77EF">
        <w:rPr>
          <w:color w:val="auto"/>
          <w:lang w:val="en-GB"/>
        </w:rPr>
        <w:t xml:space="preserve">HHb </w:t>
      </w:r>
      <w:r w:rsidR="00D47334" w:rsidRPr="007A77EF">
        <w:rPr>
          <w:color w:val="auto"/>
          <w:lang w:val="en-GB"/>
        </w:rPr>
        <w:t xml:space="preserve">was lower during the </w:t>
      </w:r>
      <w:r w:rsidR="00311ACB" w:rsidRPr="007A77EF">
        <w:rPr>
          <w:color w:val="auto"/>
          <w:lang w:val="en-GB"/>
        </w:rPr>
        <w:t xml:space="preserve">NO compared to NS </w:t>
      </w:r>
      <w:r w:rsidR="00D47334" w:rsidRPr="007A77EF">
        <w:rPr>
          <w:color w:val="auto"/>
          <w:lang w:val="en-GB"/>
        </w:rPr>
        <w:t xml:space="preserve">condition </w:t>
      </w:r>
      <w:r w:rsidR="00311ACB" w:rsidRPr="007A77EF">
        <w:rPr>
          <w:color w:val="auto"/>
          <w:lang w:val="en-GB"/>
        </w:rPr>
        <w:t>(</w:t>
      </w:r>
      <w:proofErr w:type="gramStart"/>
      <w:r w:rsidR="00311ACB" w:rsidRPr="007A77EF">
        <w:rPr>
          <w:color w:val="auto"/>
          <w:lang w:val="en-GB"/>
        </w:rPr>
        <w:t>t</w:t>
      </w:r>
      <w:r w:rsidR="00611772" w:rsidRPr="007A77EF">
        <w:rPr>
          <w:color w:val="auto"/>
          <w:lang w:val="en-GB"/>
        </w:rPr>
        <w:t>(</w:t>
      </w:r>
      <w:proofErr w:type="gramEnd"/>
      <w:r w:rsidR="00611772" w:rsidRPr="007A77EF">
        <w:rPr>
          <w:color w:val="auto"/>
          <w:lang w:val="en-GB"/>
        </w:rPr>
        <w:t>1</w:t>
      </w:r>
      <w:r w:rsidR="00376C66" w:rsidRPr="007A77EF">
        <w:rPr>
          <w:color w:val="auto"/>
          <w:lang w:val="en-GB"/>
        </w:rPr>
        <w:t>7</w:t>
      </w:r>
      <w:r w:rsidR="00611772" w:rsidRPr="007A77EF">
        <w:rPr>
          <w:color w:val="auto"/>
          <w:lang w:val="en-GB"/>
        </w:rPr>
        <w:t>)</w:t>
      </w:r>
      <w:r w:rsidR="00311ACB" w:rsidRPr="007A77EF">
        <w:rPr>
          <w:color w:val="auto"/>
          <w:lang w:val="en-GB"/>
        </w:rPr>
        <w:t xml:space="preserve"> = </w:t>
      </w:r>
      <w:r w:rsidR="00E54780" w:rsidRPr="007A77EF">
        <w:rPr>
          <w:color w:val="auto"/>
          <w:lang w:val="en-GB"/>
        </w:rPr>
        <w:t>2.28, p=.03</w:t>
      </w:r>
      <w:r w:rsidR="00311ACB" w:rsidRPr="007A77EF">
        <w:rPr>
          <w:color w:val="auto"/>
          <w:lang w:val="en-GB"/>
        </w:rPr>
        <w:t>)</w:t>
      </w:r>
      <w:r w:rsidR="00D47334" w:rsidRPr="007A77EF">
        <w:rPr>
          <w:color w:val="auto"/>
          <w:lang w:val="en-GB"/>
        </w:rPr>
        <w:t xml:space="preserve">.  In addition, mean HHb was lower in the </w:t>
      </w:r>
      <w:r w:rsidR="004D5A37" w:rsidRPr="007A77EF">
        <w:rPr>
          <w:color w:val="auto"/>
          <w:lang w:val="en-GB"/>
        </w:rPr>
        <w:t>PO</w:t>
      </w:r>
      <w:r w:rsidR="00311ACB" w:rsidRPr="007A77EF">
        <w:rPr>
          <w:color w:val="auto"/>
          <w:lang w:val="en-GB"/>
        </w:rPr>
        <w:t xml:space="preserve"> compared to </w:t>
      </w:r>
      <w:r w:rsidR="004D5A37" w:rsidRPr="007A77EF">
        <w:rPr>
          <w:color w:val="auto"/>
          <w:lang w:val="en-GB"/>
        </w:rPr>
        <w:t>N</w:t>
      </w:r>
      <w:r w:rsidR="00BB165A" w:rsidRPr="007A77EF">
        <w:rPr>
          <w:color w:val="auto"/>
          <w:lang w:val="en-GB"/>
        </w:rPr>
        <w:t>S</w:t>
      </w:r>
      <w:r w:rsidR="00311ACB" w:rsidRPr="007A77EF">
        <w:rPr>
          <w:color w:val="auto"/>
          <w:lang w:val="en-GB"/>
        </w:rPr>
        <w:t xml:space="preserve"> </w:t>
      </w:r>
      <w:r w:rsidR="00D47334" w:rsidRPr="007A77EF">
        <w:rPr>
          <w:color w:val="auto"/>
          <w:lang w:val="en-GB"/>
        </w:rPr>
        <w:t xml:space="preserve">condition </w:t>
      </w:r>
      <w:r w:rsidR="00311ACB" w:rsidRPr="007A77EF">
        <w:rPr>
          <w:color w:val="auto"/>
          <w:lang w:val="en-GB"/>
        </w:rPr>
        <w:t>(</w:t>
      </w:r>
      <w:proofErr w:type="gramStart"/>
      <w:r w:rsidR="00311ACB" w:rsidRPr="007A77EF">
        <w:rPr>
          <w:color w:val="auto"/>
          <w:lang w:val="en-GB"/>
        </w:rPr>
        <w:t>t</w:t>
      </w:r>
      <w:r w:rsidR="00376C66" w:rsidRPr="007A77EF">
        <w:rPr>
          <w:color w:val="auto"/>
          <w:lang w:val="en-GB"/>
        </w:rPr>
        <w:t>(</w:t>
      </w:r>
      <w:proofErr w:type="gramEnd"/>
      <w:r w:rsidR="00376C66" w:rsidRPr="007A77EF">
        <w:rPr>
          <w:color w:val="auto"/>
          <w:lang w:val="en-GB"/>
        </w:rPr>
        <w:t>17</w:t>
      </w:r>
      <w:r w:rsidR="00611772" w:rsidRPr="007A77EF">
        <w:rPr>
          <w:color w:val="auto"/>
          <w:lang w:val="en-GB"/>
        </w:rPr>
        <w:t>)</w:t>
      </w:r>
      <w:r w:rsidR="00311ACB" w:rsidRPr="007A77EF">
        <w:rPr>
          <w:color w:val="auto"/>
          <w:lang w:val="en-GB"/>
        </w:rPr>
        <w:t xml:space="preserve"> = </w:t>
      </w:r>
      <w:r w:rsidR="00E54780" w:rsidRPr="007A77EF">
        <w:rPr>
          <w:color w:val="auto"/>
          <w:lang w:val="en-GB"/>
        </w:rPr>
        <w:t>2.12, p=.04</w:t>
      </w:r>
      <w:r w:rsidR="00311ACB" w:rsidRPr="007A77EF">
        <w:rPr>
          <w:color w:val="auto"/>
          <w:lang w:val="en-GB"/>
        </w:rPr>
        <w:t>)</w:t>
      </w:r>
      <w:r w:rsidR="00D47334" w:rsidRPr="007A77EF">
        <w:rPr>
          <w:color w:val="auto"/>
          <w:lang w:val="en-GB"/>
        </w:rPr>
        <w:t xml:space="preserve"> </w:t>
      </w:r>
      <w:r w:rsidR="00311ACB" w:rsidRPr="007A77EF">
        <w:rPr>
          <w:color w:val="auto"/>
          <w:lang w:val="en-GB"/>
        </w:rPr>
        <w:t xml:space="preserve">and </w:t>
      </w:r>
      <w:r w:rsidR="00D47334" w:rsidRPr="007A77EF">
        <w:rPr>
          <w:color w:val="auto"/>
          <w:lang w:val="en-GB"/>
        </w:rPr>
        <w:t xml:space="preserve">reduced in the </w:t>
      </w:r>
      <w:r w:rsidR="00311ACB" w:rsidRPr="007A77EF">
        <w:rPr>
          <w:color w:val="auto"/>
          <w:lang w:val="en-GB"/>
        </w:rPr>
        <w:t xml:space="preserve">PS compared to NS </w:t>
      </w:r>
      <w:r w:rsidR="0060114A" w:rsidRPr="007A77EF">
        <w:rPr>
          <w:color w:val="auto"/>
          <w:lang w:val="en-GB"/>
        </w:rPr>
        <w:t xml:space="preserve">condition </w:t>
      </w:r>
      <w:r w:rsidR="00311ACB" w:rsidRPr="007A77EF">
        <w:rPr>
          <w:color w:val="auto"/>
          <w:lang w:val="en-GB"/>
        </w:rPr>
        <w:t>(t</w:t>
      </w:r>
      <w:r w:rsidR="00611772" w:rsidRPr="007A77EF">
        <w:rPr>
          <w:color w:val="auto"/>
          <w:lang w:val="en-GB"/>
        </w:rPr>
        <w:t>(1</w:t>
      </w:r>
      <w:r w:rsidR="00376C66" w:rsidRPr="007A77EF">
        <w:rPr>
          <w:color w:val="auto"/>
          <w:lang w:val="en-GB"/>
        </w:rPr>
        <w:t>7</w:t>
      </w:r>
      <w:r w:rsidR="00611772" w:rsidRPr="007A77EF">
        <w:rPr>
          <w:color w:val="auto"/>
          <w:lang w:val="en-GB"/>
        </w:rPr>
        <w:t>)</w:t>
      </w:r>
      <w:r w:rsidR="00311ACB" w:rsidRPr="007A77EF">
        <w:rPr>
          <w:color w:val="auto"/>
          <w:lang w:val="en-GB"/>
        </w:rPr>
        <w:t xml:space="preserve"> = </w:t>
      </w:r>
      <w:r w:rsidR="00E54780" w:rsidRPr="007A77EF">
        <w:rPr>
          <w:color w:val="auto"/>
          <w:lang w:val="en-GB"/>
        </w:rPr>
        <w:t>2.17, p=.04</w:t>
      </w:r>
      <w:r w:rsidR="00311ACB" w:rsidRPr="007A77EF">
        <w:rPr>
          <w:color w:val="auto"/>
          <w:lang w:val="en-GB"/>
        </w:rPr>
        <w:t>)</w:t>
      </w:r>
      <w:r w:rsidR="00623CED" w:rsidRPr="007A77EF">
        <w:rPr>
          <w:color w:val="auto"/>
          <w:lang w:val="en-GB"/>
        </w:rPr>
        <w:t xml:space="preserve"> (Fig. 6)</w:t>
      </w:r>
      <w:r w:rsidR="00311ACB" w:rsidRPr="007A77EF">
        <w:rPr>
          <w:color w:val="auto"/>
          <w:lang w:val="en-GB"/>
        </w:rPr>
        <w:t>.</w:t>
      </w:r>
    </w:p>
    <w:p w14:paraId="3930B80A" w14:textId="77777777" w:rsidR="00B14463" w:rsidRPr="007A77EF" w:rsidRDefault="00B14463" w:rsidP="00CC5C36">
      <w:pPr>
        <w:pStyle w:val="BodyA"/>
        <w:spacing w:line="480" w:lineRule="auto"/>
        <w:ind w:firstLine="720"/>
        <w:rPr>
          <w:color w:val="auto"/>
          <w:lang w:val="en-GB"/>
        </w:rPr>
      </w:pPr>
    </w:p>
    <w:p w14:paraId="1D111EBE" w14:textId="25869C8A" w:rsidR="00B14463" w:rsidRPr="007A77EF" w:rsidRDefault="00B14463" w:rsidP="00CC5C36">
      <w:pPr>
        <w:pStyle w:val="BodyA"/>
        <w:spacing w:line="480" w:lineRule="auto"/>
        <w:ind w:firstLine="720"/>
        <w:rPr>
          <w:color w:val="auto"/>
          <w:lang w:val="en-GB"/>
        </w:rPr>
      </w:pPr>
    </w:p>
    <w:p w14:paraId="0C4D5D6B" w14:textId="77777777" w:rsidR="004A33B1" w:rsidRPr="007A77EF" w:rsidRDefault="004A33B1" w:rsidP="00CC5C36">
      <w:pPr>
        <w:pStyle w:val="BodyA"/>
        <w:spacing w:line="480" w:lineRule="auto"/>
        <w:rPr>
          <w:rFonts w:hAnsi="Times New Roman" w:cs="Times New Roman"/>
          <w:color w:val="auto"/>
          <w:lang w:val="en-GB"/>
        </w:rPr>
      </w:pPr>
    </w:p>
    <w:p w14:paraId="0EE9408D" w14:textId="3BBDD20B" w:rsidR="0095084A" w:rsidRPr="007A77EF" w:rsidRDefault="000666B6" w:rsidP="005D273B">
      <w:pPr>
        <w:pStyle w:val="BodyA"/>
        <w:spacing w:line="480" w:lineRule="auto"/>
        <w:jc w:val="center"/>
        <w:rPr>
          <w:color w:val="auto"/>
          <w:lang w:val="en-GB"/>
        </w:rPr>
      </w:pPr>
      <w:r w:rsidRPr="007A77EF">
        <w:rPr>
          <w:noProof/>
          <w:color w:val="auto"/>
          <w:lang w:eastAsia="en-US"/>
        </w:rPr>
        <w:drawing>
          <wp:inline distT="0" distB="0" distL="0" distR="0" wp14:anchorId="7C2FC1D0" wp14:editId="3DC1109F">
            <wp:extent cx="4716780" cy="330174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6.bmp"/>
                    <pic:cNvPicPr/>
                  </pic:nvPicPr>
                  <pic:blipFill>
                    <a:blip r:embed="rId15">
                      <a:extLst>
                        <a:ext uri="{28A0092B-C50C-407E-A947-70E740481C1C}">
                          <a14:useLocalDpi xmlns:a14="http://schemas.microsoft.com/office/drawing/2010/main" val="0"/>
                        </a:ext>
                      </a:extLst>
                    </a:blip>
                    <a:stretch>
                      <a:fillRect/>
                    </a:stretch>
                  </pic:blipFill>
                  <pic:spPr>
                    <a:xfrm>
                      <a:off x="0" y="0"/>
                      <a:ext cx="4725751" cy="3308026"/>
                    </a:xfrm>
                    <a:prstGeom prst="rect">
                      <a:avLst/>
                    </a:prstGeom>
                  </pic:spPr>
                </pic:pic>
              </a:graphicData>
            </a:graphic>
          </wp:inline>
        </w:drawing>
      </w:r>
    </w:p>
    <w:p w14:paraId="38F39408" w14:textId="7CE23495" w:rsidR="005D273B" w:rsidRPr="007A77EF" w:rsidRDefault="005D273B" w:rsidP="005D273B">
      <w:pPr>
        <w:pStyle w:val="BodyA"/>
        <w:spacing w:line="480" w:lineRule="auto"/>
        <w:ind w:firstLine="720"/>
        <w:rPr>
          <w:b/>
          <w:color w:val="auto"/>
          <w:lang w:val="en-GB"/>
        </w:rPr>
      </w:pPr>
      <w:r w:rsidRPr="007A77EF">
        <w:rPr>
          <w:b/>
          <w:color w:val="auto"/>
          <w:lang w:val="en-GB"/>
        </w:rPr>
        <w:t>Figure 6. Mean HHb values for the medial-right ROI of the rPFC. Error bars represent standard error (N=18).</w:t>
      </w:r>
      <w:r w:rsidR="004D38DF" w:rsidRPr="007A77EF">
        <w:rPr>
          <w:b/>
          <w:color w:val="auto"/>
          <w:lang w:val="en-GB"/>
        </w:rPr>
        <w:t xml:space="preserve"> Brackets indicate statistically significant differences at p&lt;.05.</w:t>
      </w:r>
    </w:p>
    <w:p w14:paraId="3C4E0C23" w14:textId="43B6053B" w:rsidR="005D273B" w:rsidRPr="007A77EF" w:rsidRDefault="005D273B" w:rsidP="005D273B">
      <w:pPr>
        <w:pStyle w:val="BodyA"/>
        <w:spacing w:line="480" w:lineRule="auto"/>
        <w:rPr>
          <w:b/>
          <w:color w:val="auto"/>
          <w:lang w:val="en-GB"/>
        </w:rPr>
      </w:pPr>
    </w:p>
    <w:p w14:paraId="2EAEB6CF" w14:textId="476B0494" w:rsidR="00C8548E" w:rsidRPr="007A77EF" w:rsidRDefault="00F74B73" w:rsidP="007A77EF">
      <w:pPr>
        <w:pStyle w:val="BodyA"/>
        <w:numPr>
          <w:ilvl w:val="0"/>
          <w:numId w:val="1"/>
        </w:numPr>
        <w:spacing w:line="480" w:lineRule="auto"/>
        <w:rPr>
          <w:caps/>
          <w:color w:val="auto"/>
          <w:lang w:val="en-GB"/>
        </w:rPr>
      </w:pPr>
      <w:r w:rsidRPr="007A77EF">
        <w:rPr>
          <w:color w:val="auto"/>
          <w:lang w:val="en-GB"/>
        </w:rPr>
        <w:t>DISCUSSION</w:t>
      </w:r>
    </w:p>
    <w:p w14:paraId="101509DB" w14:textId="6067B047" w:rsidR="009C5EDC" w:rsidRPr="007A77EF" w:rsidRDefault="00CB2B4E" w:rsidP="00463ABB">
      <w:pPr>
        <w:pStyle w:val="BodyA"/>
        <w:spacing w:line="480" w:lineRule="auto"/>
        <w:rPr>
          <w:color w:val="auto"/>
          <w:lang w:val="en-GB"/>
        </w:rPr>
      </w:pPr>
      <w:r w:rsidRPr="007A77EF">
        <w:rPr>
          <w:color w:val="auto"/>
          <w:lang w:val="en-GB"/>
        </w:rPr>
        <w:tab/>
      </w:r>
      <w:r w:rsidR="005E556E" w:rsidRPr="007A77EF">
        <w:rPr>
          <w:color w:val="auto"/>
          <w:lang w:val="en-GB"/>
        </w:rPr>
        <w:t xml:space="preserve">We predicted greater activation of the </w:t>
      </w:r>
      <w:r w:rsidRPr="007A77EF">
        <w:rPr>
          <w:color w:val="auto"/>
          <w:lang w:val="en-GB"/>
        </w:rPr>
        <w:t>medial rPFC</w:t>
      </w:r>
      <w:r w:rsidR="00AE3682" w:rsidRPr="007A77EF">
        <w:rPr>
          <w:color w:val="auto"/>
          <w:lang w:val="en-GB"/>
        </w:rPr>
        <w:t xml:space="preserve"> (medial BA10)</w:t>
      </w:r>
      <w:r w:rsidRPr="007A77EF">
        <w:rPr>
          <w:color w:val="auto"/>
          <w:lang w:val="en-GB"/>
        </w:rPr>
        <w:t xml:space="preserve"> when artwork was processed </w:t>
      </w:r>
      <w:r w:rsidR="00F176F8" w:rsidRPr="007A77EF">
        <w:rPr>
          <w:color w:val="auto"/>
          <w:lang w:val="en-GB"/>
        </w:rPr>
        <w:t>from the perspective of</w:t>
      </w:r>
      <w:r w:rsidRPr="007A77EF">
        <w:rPr>
          <w:color w:val="auto"/>
          <w:lang w:val="en-GB"/>
        </w:rPr>
        <w:t xml:space="preserve"> the </w:t>
      </w:r>
      <w:r w:rsidRPr="007A77EF">
        <w:rPr>
          <w:iCs/>
          <w:color w:val="auto"/>
          <w:lang w:val="en-GB"/>
        </w:rPr>
        <w:t>self</w:t>
      </w:r>
      <w:r w:rsidR="005E556E" w:rsidRPr="007A77EF">
        <w:rPr>
          <w:iCs/>
          <w:color w:val="auto"/>
          <w:lang w:val="en-GB"/>
        </w:rPr>
        <w:t xml:space="preserve"> </w:t>
      </w:r>
      <w:r w:rsidR="0076453D" w:rsidRPr="007A77EF">
        <w:rPr>
          <w:color w:val="auto"/>
          <w:lang w:val="en-GB"/>
        </w:rPr>
        <w:t>(Vessel et al., 2012</w:t>
      </w:r>
      <w:r w:rsidR="005E556E" w:rsidRPr="007A77EF">
        <w:rPr>
          <w:color w:val="auto"/>
          <w:lang w:val="en-GB"/>
        </w:rPr>
        <w:t>)</w:t>
      </w:r>
      <w:r w:rsidRPr="007A77EF">
        <w:rPr>
          <w:color w:val="auto"/>
          <w:lang w:val="en-GB"/>
        </w:rPr>
        <w:t xml:space="preserve">.  </w:t>
      </w:r>
      <w:r w:rsidR="00F176F8" w:rsidRPr="007A77EF">
        <w:rPr>
          <w:color w:val="auto"/>
          <w:lang w:val="en-GB"/>
        </w:rPr>
        <w:t xml:space="preserve">Our results revealed the opposite </w:t>
      </w:r>
      <w:r w:rsidR="00460909" w:rsidRPr="007A77EF">
        <w:rPr>
          <w:color w:val="auto"/>
          <w:lang w:val="en-GB"/>
        </w:rPr>
        <w:t>effec</w:t>
      </w:r>
      <w:r w:rsidR="00623CED" w:rsidRPr="007A77EF">
        <w:rPr>
          <w:color w:val="auto"/>
          <w:lang w:val="en-GB"/>
        </w:rPr>
        <w:t>t</w:t>
      </w:r>
      <w:r w:rsidR="00F176F8" w:rsidRPr="007A77EF">
        <w:rPr>
          <w:color w:val="auto"/>
          <w:lang w:val="en-GB"/>
        </w:rPr>
        <w:t xml:space="preserve"> as mean </w:t>
      </w:r>
      <w:r w:rsidR="009B3297" w:rsidRPr="007A77EF">
        <w:rPr>
          <w:color w:val="auto"/>
          <w:lang w:val="en-GB"/>
        </w:rPr>
        <w:t>HbO</w:t>
      </w:r>
      <w:r w:rsidR="00F176F8" w:rsidRPr="007A77EF">
        <w:rPr>
          <w:color w:val="auto"/>
          <w:lang w:val="en-GB"/>
        </w:rPr>
        <w:t xml:space="preserve"> was significantly higher during the </w:t>
      </w:r>
      <w:r w:rsidR="00F176F8" w:rsidRPr="007A77EF">
        <w:rPr>
          <w:i/>
          <w:color w:val="auto"/>
          <w:lang w:val="en-GB"/>
        </w:rPr>
        <w:t>other</w:t>
      </w:r>
      <w:r w:rsidR="00F176F8" w:rsidRPr="007A77EF">
        <w:rPr>
          <w:color w:val="auto"/>
          <w:lang w:val="en-GB"/>
        </w:rPr>
        <w:t xml:space="preserve">-condition in all but one of the ROIs under investigation </w:t>
      </w:r>
      <w:r w:rsidRPr="007A77EF">
        <w:rPr>
          <w:color w:val="auto"/>
          <w:lang w:val="en-GB"/>
        </w:rPr>
        <w:t>(</w:t>
      </w:r>
      <w:r w:rsidR="0073652B" w:rsidRPr="007A77EF">
        <w:rPr>
          <w:color w:val="auto"/>
          <w:lang w:val="en-GB"/>
        </w:rPr>
        <w:t>Fig</w:t>
      </w:r>
      <w:r w:rsidR="00B75595" w:rsidRPr="007A77EF">
        <w:rPr>
          <w:color w:val="auto"/>
          <w:lang w:val="en-GB"/>
        </w:rPr>
        <w:t>.</w:t>
      </w:r>
      <w:r w:rsidR="000465C1" w:rsidRPr="007A77EF">
        <w:rPr>
          <w:color w:val="auto"/>
          <w:lang w:val="en-GB"/>
        </w:rPr>
        <w:t xml:space="preserve"> 4</w:t>
      </w:r>
      <w:r w:rsidR="00D97118" w:rsidRPr="007A77EF">
        <w:rPr>
          <w:color w:val="auto"/>
          <w:lang w:val="en-GB"/>
        </w:rPr>
        <w:t>).</w:t>
      </w:r>
      <w:r w:rsidR="00FF1B58" w:rsidRPr="007A77EF">
        <w:rPr>
          <w:color w:val="auto"/>
          <w:lang w:val="en-GB"/>
        </w:rPr>
        <w:t xml:space="preserve"> This finding was partially supported </w:t>
      </w:r>
      <w:r w:rsidR="00941D29" w:rsidRPr="007A77EF">
        <w:rPr>
          <w:color w:val="auto"/>
          <w:lang w:val="en-GB"/>
        </w:rPr>
        <w:t>by</w:t>
      </w:r>
      <w:r w:rsidR="00FF1B58" w:rsidRPr="007A77EF">
        <w:rPr>
          <w:color w:val="auto"/>
          <w:lang w:val="en-GB"/>
        </w:rPr>
        <w:t xml:space="preserve"> the analysis of mean HHb (Fig. 5 and 6), as the pattern of greater activation (i.e. lower HHb) during the </w:t>
      </w:r>
      <w:r w:rsidR="00FF1B58" w:rsidRPr="007A77EF">
        <w:rPr>
          <w:i/>
          <w:color w:val="auto"/>
          <w:lang w:val="en-GB"/>
        </w:rPr>
        <w:t>other</w:t>
      </w:r>
      <w:r w:rsidR="00FF1B58" w:rsidRPr="007A77EF">
        <w:rPr>
          <w:color w:val="auto"/>
          <w:lang w:val="en-GB"/>
        </w:rPr>
        <w:t>-condition was only apparent when the images were negative.</w:t>
      </w:r>
      <w:r w:rsidR="009C5EDC" w:rsidRPr="007A77EF">
        <w:rPr>
          <w:color w:val="auto"/>
          <w:lang w:val="en-GB"/>
        </w:rPr>
        <w:t xml:space="preserve"> </w:t>
      </w:r>
      <w:r w:rsidR="00D75D32" w:rsidRPr="007A77EF">
        <w:rPr>
          <w:color w:val="auto"/>
          <w:lang w:val="en-GB"/>
        </w:rPr>
        <w:t xml:space="preserve">In contrast, viewing a positive image </w:t>
      </w:r>
      <w:r w:rsidR="004F4820" w:rsidRPr="007A77EF">
        <w:rPr>
          <w:color w:val="auto"/>
          <w:lang w:val="en-GB"/>
        </w:rPr>
        <w:t xml:space="preserve">during the </w:t>
      </w:r>
      <w:r w:rsidR="004F4820" w:rsidRPr="007A77EF">
        <w:rPr>
          <w:i/>
          <w:color w:val="auto"/>
          <w:lang w:val="en-GB"/>
        </w:rPr>
        <w:t>self</w:t>
      </w:r>
      <w:r w:rsidR="004F4820" w:rsidRPr="007A77EF">
        <w:rPr>
          <w:color w:val="auto"/>
          <w:lang w:val="en-GB"/>
        </w:rPr>
        <w:t xml:space="preserve">-condition </w:t>
      </w:r>
      <w:r w:rsidR="00D75D32" w:rsidRPr="007A77EF">
        <w:rPr>
          <w:color w:val="auto"/>
          <w:lang w:val="en-GB"/>
        </w:rPr>
        <w:t xml:space="preserve">led to a decrease </w:t>
      </w:r>
      <w:r w:rsidR="004F4820" w:rsidRPr="007A77EF">
        <w:rPr>
          <w:color w:val="auto"/>
          <w:lang w:val="en-GB"/>
        </w:rPr>
        <w:t>of</w:t>
      </w:r>
      <w:r w:rsidR="00D75D32" w:rsidRPr="007A77EF">
        <w:rPr>
          <w:color w:val="auto"/>
          <w:lang w:val="en-GB"/>
        </w:rPr>
        <w:t xml:space="preserve"> HHb (Fig. 5 &amp; 6).</w:t>
      </w:r>
    </w:p>
    <w:p w14:paraId="49136595" w14:textId="77777777" w:rsidR="006D689A" w:rsidRPr="007A77EF" w:rsidRDefault="006D689A" w:rsidP="006D689A">
      <w:pPr>
        <w:pStyle w:val="BodyA"/>
        <w:spacing w:line="480" w:lineRule="auto"/>
        <w:ind w:firstLine="720"/>
        <w:rPr>
          <w:color w:val="auto"/>
          <w:lang w:val="en-GB"/>
        </w:rPr>
      </w:pPr>
      <w:r w:rsidRPr="007A77EF">
        <w:rPr>
          <w:color w:val="auto"/>
          <w:lang w:val="en-GB"/>
        </w:rPr>
        <w:lastRenderedPageBreak/>
        <w:t xml:space="preserve">Estimating the intentions of another person is an important component of social interaction which has been highlighted via research on ToM </w:t>
      </w:r>
      <w:r w:rsidRPr="007A77EF">
        <w:rPr>
          <w:color w:val="auto"/>
          <w:lang w:val="en-GB"/>
        </w:rPr>
        <w:fldChar w:fldCharType="begin" w:fldLock="1"/>
      </w:r>
      <w:r w:rsidRPr="007A77EF">
        <w:rPr>
          <w:color w:val="auto"/>
          <w:lang w:val="en-GB"/>
        </w:rPr>
        <w:instrText>ADDIN CSL_CITATION { "citationItems" : [ { "id" : "ITEM-1", "itemData" : { "author" : [ { "dropping-particle" : "", "family" : "Blakemore", "given" : "S J", "non-dropping-particle" : "", "parse-names" : false, "suffix" : "" }, { "dropping-particle" : "", "family" : "Decety", "given" : "J", "non-dropping-particle" : "", "parse-names" : false, "suffix" : "" } ], "container-title" : "Nature Reviews Neuroscience", "id" : "ITEM-1", "issued" : { "date-parts" : [ [ "2001" ] ] }, "page" : "561 - 567", "title" : "From the perception of action to the understanding of intention", "type" : "article-journal", "volume" : "2" }, "uris" : [ "http://www.mendeley.com/documents/?uuid=515951db-2b43-4797-a21b-3f9c5f4c7f1c" ] }, { "id" : "ITEM-2", "itemData" : { "author" : [ { "dropping-particle" : "", "family" : "Carruthers", "given" : "P", "non-dropping-particle" : "", "parse-names" : false, "suffix" : "" }, { "dropping-particle" : "", "family" : "Smith", "given" : "P K", "non-dropping-particle" : "", "parse-names" : false, "suffix" : "" } ], "id" : "ITEM-2", "issued" : { "date-parts" : [ [ "1996" ] ] }, "publisher" : "Cambridge University Press", "publisher-place" : "Cambridge", "title" : "Theories of theories of mind", "type" : "book" }, "uris" : [ "http://www.mendeley.com/documents/?uuid=ac5941e9-81d7-44d9-a105-c04383ea3627" ] }, { "id" : "ITEM-3", "itemData" : { "DOI" : "10.1016/j.dcn.2014.01.002", "ISSN" : "1878-9307", "PMID" : "24552989", "abstract" : "Theory of mind (ToM) is a core topic in both social neuroscience and developmental psychology, yet theory and data from each field have only minimally constrained thinking in the other. The two fields might be fruitfully integrated, however, if social neuroscientists sought evidence directly relevant to current accounts of ToM development: modularity, simulation, executive, and theory theory accounts. Here we extend the distinct predictions made by each theory to the neural level, describe neuroimaging evidence that in principle would be relevant to testing each account, and discuss such evidence where it exists. We propose that it would be mutually beneficial for both fields if ToM neuroimaging studies focused more on integrating developmental accounts of ToM acquisition with neuroimaging approaches, and suggest ways this might be achieved.", "author" : [ { "dropping-particle" : "V", "family" : "Mahy", "given" : "Caitlin E", "non-dropping-particle" : "", "parse-names" : false, "suffix" : "" }, { "dropping-particle" : "", "family" : "Moses", "given" : "Louis J", "non-dropping-particle" : "", "parse-names" : false, "suffix" : "" }, { "dropping-particle" : "", "family" : "Pfeifer", "given" : "Jennifer H", "non-dropping-particle" : "", "parse-names" : false, "suffix" : "" } ], "container-title" : "Developmental cognitive neuroscience", "id" : "ITEM-3", "issued" : { "date-parts" : [ [ "2014", "1", "25" ] ] }, "page" : "68-81", "publisher" : "Elsevier Ltd", "title" : "How and where: Theory-of-mind in the brain.", "type" : "article-journal", "volume" : "9C" }, "uris" : [ "http://www.mendeley.com/documents/?uuid=97b4659c-19b4-4236-9bd8-0948bbd79899" ] }, { "id" : "ITEM-4", "itemData" : { "DOI" : "10.1162/jocn_a_00281", "ISSN" : "1530-8898", "PMID" : "22905821", "abstract" : "Human cognition is increasingly characterized as an emergent property of interactions among distributed, functionally specialized brain networks. We recently demonstrated that the antagonistic \"default\" and \"dorsal attention\" networks--subserving internally and externally directed cognition, respectively--are modulated by a third \"frontoparietal control\" network that flexibly couples with either network depending on task domain. However, little is known about the intrinsic functional architecture underlying this relationship. We used graph theory to analyze network properties of intrinsic functional connectivity within and between these three large-scale networks. Task-based activation from three independent studies were used to identify reliable brain regions (\"nodes\") of each network. We then examined pairwise connections (\"edges\") between nodes, as defined by resting-state functional connectivity MRI. Importantly, we used a novel bootstrap resampling procedure to determine the reliability of graph edges. Furthermore, we examined both full and partial correlations. As predicted, there was a higher degree of integration within each network than between networks. Critically, whereas the default and dorsal attention networks shared little positive connectivity with one another, the frontoparietal control network showed a high degree of between-network interconnectivity with each of these networks. Furthermore, we identified nodes within the frontoparietal control network of three different types--default-aligned, dorsal attention-aligned, and dual-aligned--that we propose play dissociable roles in mediating internetwork communication. The results provide evidence consistent with the idea that the frontoparietal control network plays a pivotal gate-keeping role in goal-directed cognition, mediating the dynamic balance between default and dorsal attention networks.", "author" : [ { "dropping-particle" : "", "family" : "Spreng", "given" : "R Nathan", "non-dropping-particle" : "", "parse-names" : false, "suffix" : "" }, { "dropping-particle" : "", "family" : "Sepulcre", "given" : "Jorge", "non-dropping-particle" : "", "parse-names" : false, "suffix" : "" }, { "dropping-particle" : "", "family" : "Turner", "given" : "Gary R", "non-dropping-particle" : "", "parse-names" : false, "suffix" : "" }, { "dropping-particle" : "", "family" : "Stevens", "given" : "W Dale", "non-dropping-particle" : "", "parse-names" : false, "suffix" : "" }, { "dropping-particle" : "", "family" : "Schacter", "given" : "Daniel L", "non-dropping-particle" : "", "parse-names" : false, "suffix" : "" } ], "container-title" : "Journal of cognitive neuroscience", "id" : "ITEM-4", "issue" : "1", "issued" : { "date-parts" : [ [ "2013", "1" ] ] }, "page" : "74-86", "title" : "Intrinsic architecture underlying the relations among the default, dorsal attention, and frontoparietal control networks of the human brain.", "type" : "article-journal", "volume" : "25" }, "uris" : [ "http://www.mendeley.com/documents/?uuid=aedb42f9-df71-48af-acac-0763409b5c1a" ] } ], "mendeley" : { "formattedCitation" : "(Blakemore &amp; Decety, 2001; Carruthers &amp; Smith, 1996; Mahy et al., 2014; Spreng et al., 2013)", "plainTextFormattedCitation" : "(Blakemore &amp; Decety, 2001; Carruthers &amp; Smith, 1996; Mahy et al., 2014; Spreng et al., 2013)", "previouslyFormattedCitation" : "(Blakemore &amp; Decety, 2001; Carruthers &amp; Smith, 1996; Mahy et al., 2014; Spreng et al., 2013)"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(Blakemore &amp; Decety, 2001; Carruthers &amp; Smith, 1996; Mahy et al., 2014; Spreng et al., 2013)</w:t>
      </w:r>
      <w:r w:rsidRPr="007A77EF">
        <w:rPr>
          <w:color w:val="auto"/>
          <w:lang w:val="en-GB"/>
        </w:rPr>
        <w:fldChar w:fldCharType="end"/>
      </w:r>
      <w:r w:rsidRPr="007A77EF">
        <w:rPr>
          <w:color w:val="auto"/>
          <w:lang w:val="en-GB"/>
        </w:rPr>
        <w:t>. ToM is functionally equivalent to second-order intentionality (I believe that you suppose</w:t>
      </w:r>
      <w:r w:rsidRPr="007A77EF">
        <w:rPr>
          <w:rFonts w:hAnsi="Times New Roman"/>
          <w:color w:val="auto"/>
          <w:lang w:val="en-GB"/>
        </w:rPr>
        <w:t>…</w:t>
      </w:r>
      <w:r w:rsidRPr="007A77EF">
        <w:rPr>
          <w:color w:val="auto"/>
          <w:lang w:val="en-GB"/>
        </w:rPr>
        <w:t xml:space="preserve">) </w:t>
      </w:r>
      <w:r w:rsidRPr="007A77EF">
        <w:rPr>
          <w:color w:val="auto"/>
          <w:lang w:val="en-GB"/>
        </w:rPr>
        <w:fldChar w:fldCharType="begin" w:fldLock="1"/>
      </w:r>
      <w:r w:rsidRPr="007A77EF">
        <w:rPr>
          <w:color w:val="auto"/>
          <w:lang w:val="en-GB"/>
        </w:rPr>
        <w:instrText>ADDIN CSL_CITATION { "citationItems" : [ { "id" : "ITEM-1", "itemData" : { "DOI" : "10.1016/j.tics.2011.11.013", "ISSN" : "1879-307X", "PMID" : "22177800", "abstract" : "Recent neuroimaging studies in humans have indicated that individual differences in social network size correlate with amygdala volume and the volume of brain regions associated with theory of mind. A new article demonstrates that this is also true for monkeys. Taken together, these findings provide crucial support for the social brain hypothesis.", "author" : [ { "dropping-particle" : "", "family" : "Dunbar", "given" : "Robin I M", "non-dropping-particle" : "", "parse-names" : false, "suffix" : "" } ], "container-title" : "Trends in cognitive sciences", "id" : "ITEM-1", "issue" : "2", "issued" : { "date-parts" : [ [ "2012", "2" ] ] }, "page" : "101-2", "publisher" : "Elsevier Ltd", "title" : "The social brain meets neuroimaging.", "type" : "article-journal", "volume" : "16" }, "uris" : [ "http://www.mendeley.com/documents/?uuid=bba6afce-df55-4642-9281-27682a1bc4e4" ] }, { "id" : "ITEM-2", "itemData" : { "DOI" : "10.1016/j.neuroimage.2011.05.030", "ISSN" : "1095-9572", "PMID" : "21616156", "abstract" : "Cognitive abilities such as Theory of Mind (ToM), and more generally mentalizing competences, are central to human sociality. Neuroimaging has associated these abilities with specific brain regions including temporo-parietal junction, superior temporal sulcus, frontal pole, and ventromedial prefrontal cortex. Previous studies have shown both that mentalizing competence, indexed as the ability to correctly understand others' belief states, is associated with social network size and that social group size is correlated with frontal lobe volume across primate species (the social brain hypothesis). Given this, we predicted that both mentalizing competences and the number of social relationships a person can maintain simultaneously will be a function of gray matter volume in these regions associated with conventional Theory of Mind. We used voxel-based morphometry of Magnetic Resonance Images (MRIs) to test this hypothesis in humans. Specifically, we regressed individuals' mentalizing competences and social network sizes against gray matter volume. This revealed that gray matter volume in bilateral posterior frontal pole and left temporoparietal junction and superior temporal sucus varies parametrically with mentalizing competence. Furthermore, gray matter volume in the medial orbitofrontal cortex and the ventral portion of medial frontal gyrus, varied parametrically with both mentalizing competence and social network size, demonstrating a shared neural basis for these very different facets of sociality. These findings provide the first fine-grained anatomical support for the social brain hypothesis. As such, they have important implications for our understanding of the constraints limiting social cognition and social network size in humans, as well as for our understanding of how such abilities evolved across primates.", "author" : [ { "dropping-particle" : "", "family" : "Lewis", "given" : "Penelope A", "non-dropping-particle" : "", "parse-names" : false, "suffix" : "" }, { "dropping-particle" : "", "family" : "Rezaie", "given" : "Roozbeh", "non-dropping-particle" : "", "parse-names" : false, "suffix" : "" }, { "dropping-particle" : "", "family" : "Brown", "given" : "Rachel", "non-dropping-particle" : "", "parse-names" : false, "suffix" : "" }, { "dropping-particle" : "", "family" : "Roberts", "given" : "Neil", "non-dropping-particle" : "", "parse-names" : false, "suffix" : "" }, { "dropping-particle" : "", "family" : "Dunbar", "given" : "R I M", "non-dropping-particle" : "", "parse-names" : false, "suffix" : "" } ], "container-title" : "NeuroImage", "id" : "ITEM-2", "issue" : "4", "issued" : { "date-parts" : [ [ "2011", "8", "15" ] ] }, "page" : "1624-9", "publisher" : "Elsevier Inc.", "title" : "Ventromedial prefrontal volume predicts understanding of others and social network size.", "type" : "article-journal", "volume" : "57" }, "uris" : [ "http://www.mendeley.com/documents/?uuid=7f03e453-5a23-48cb-9ddf-9a8025636ab5" ] } ], "mendeley" : { "formattedCitation" : "(Dunbar, 2012; Lewis, Rezaie, Brown, Roberts, &amp; Dunbar, 2011)", "plainTextFormattedCitation" : "(Dunbar, 2012; Lewis, Rezaie, Brown, Roberts, &amp; Dunbar, 2011)", "previouslyFormattedCitation" : "(Dunbar, 2012; Lewis, Rezaie, Brown, Roberts, &amp; Dunbar, 2011)"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(Dunbar, 2012; Lewis, Rezaie, Brown, Roberts, &amp; Dunbar, 2011)</w:t>
      </w:r>
      <w:r w:rsidRPr="007A77EF">
        <w:rPr>
          <w:color w:val="auto"/>
          <w:lang w:val="en-GB"/>
        </w:rPr>
        <w:fldChar w:fldCharType="end"/>
      </w:r>
      <w:r w:rsidRPr="007A77EF">
        <w:rPr>
          <w:color w:val="auto"/>
          <w:lang w:val="en-GB"/>
        </w:rPr>
        <w:t xml:space="preserve"> and this category of second-order processing was fundamental to the </w:t>
      </w:r>
      <w:r w:rsidRPr="007A77EF">
        <w:rPr>
          <w:i/>
          <w:iCs/>
          <w:color w:val="auto"/>
          <w:lang w:val="en-GB"/>
        </w:rPr>
        <w:t>other</w:t>
      </w:r>
      <w:r w:rsidRPr="007A77EF">
        <w:rPr>
          <w:color w:val="auto"/>
          <w:lang w:val="en-GB"/>
        </w:rPr>
        <w:t xml:space="preserve">-condition where participants were required to introspect about the emotional state of the artist.  We found second-order processing to be associated with an increase of oxygenated haemoglobin in bilateral areas of the rPFC (Fig. 4).  It is logical to assume that an estimation of second-order intentionality, i.e. ToM, represents a significantly higher level of cognitive demand compared to its first-order equivalent as the former necessitates a complex process of projection and simulation.  Therefore, we assume that increased HbO in the rPFC represented a higher level of cognitive demand for this particular category of introspection.     </w:t>
      </w:r>
    </w:p>
    <w:p w14:paraId="41C8A29E" w14:textId="49BD0564" w:rsidR="006D689A" w:rsidRPr="007A77EF" w:rsidRDefault="006D689A" w:rsidP="007A5546">
      <w:pPr>
        <w:pStyle w:val="BodyA"/>
        <w:spacing w:line="480" w:lineRule="auto"/>
        <w:ind w:firstLine="720"/>
        <w:rPr>
          <w:color w:val="auto"/>
          <w:lang w:val="en-GB"/>
        </w:rPr>
      </w:pPr>
      <w:r w:rsidRPr="007A77EF">
        <w:rPr>
          <w:color w:val="auto"/>
          <w:lang w:val="en-GB"/>
        </w:rPr>
        <w:t xml:space="preserve">The rPFC has been implicated in the act of orienting behaviour towards specific task aspects </w:t>
      </w:r>
      <w:r w:rsidRPr="007A77EF">
        <w:rPr>
          <w:color w:val="auto"/>
          <w:lang w:val="en-GB"/>
        </w:rPr>
        <w:fldChar w:fldCharType="begin" w:fldLock="1"/>
      </w:r>
      <w:r w:rsidRPr="007A77EF">
        <w:rPr>
          <w:color w:val="auto"/>
          <w:lang w:val="en-GB"/>
        </w:rPr>
        <w:instrText>ADDIN CSL_CITATION { "citationItems" : [ { "id" : "ITEM-1", "itemData" : { "DOI" : "10.1016/j.tics.2007.05.004", "ISSN" : "1364-6613", "PMID" : "17548231", "abstract" : "Rostral prefrontal cortex (PFC) is a large brain region, and is unusually large in humans. Therefore, it seems likely that it might support functions that are central to cognition. However, until recently, almost nothing was known about what these functions might be. The 'gateway hypothesis' places these abilities at the centre of human mental processing. It maintains that rostral PFC supports mechanisms that enable us to attend, to a novel degree, either to environmental stimuli, or by contrast, to self-generated or maintained representations (i.e. the 'thoughts in our head'). In this way, investigations into the functions of rostral PFC will reveal key new insights into how human and non-human mental abilities differ.", "author" : [ { "dropping-particle" : "", "family" : "Burgess", "given" : "P W", "non-dropping-particle" : "", "parse-names" : false, "suffix" : "" }, { "dropping-particle" : "", "family" : "Dumontheil", "given" : "I", "non-dropping-particle" : "", "parse-names" : false, "suffix" : "" }, { "dropping-particle" : "", "family" : "Gilbert", "given" : "S J", "non-dropping-particle" : "", "parse-names" : false, "suffix" : "" } ], "container-title" : "Measuring the Mind: Speed, Control, and Age", "editor" : [ { "dropping-particle" : "", "family" : "Phillips, D.L. and McLeod", "given" : "P.", "non-dropping-particle" : "", "parse-names" : false, "suffix" : "" } ], "id" : "ITEM-1", "issue" : "7", "issued" : { "date-parts" : [ [ "2005", "7" ] ] }, "page" : "290-8", "publisher" : "Oxford University Press", "publisher-place" : "Oxford", "title" : "The gateway hypothesis of rostral prefrontal cortex (area 10) function.", "type" : "article-journal", "volume" : "11" }, "uris" : [ "http://www.mendeley.com/documents/?uuid=e79a7a9d-00e5-4227-b124-6d688ea58206" ] }, { "id" : "ITEM-2", "itemData" : { "DOI" : "10.1016/j.bandc.2009.01.003", "ISSN" : "1090-2147", "PMID" : "19223099", "abstract" : "When we view visual images in everyday life, our perception is oriented toward object identification. In contrast, when viewing visual images as artworks, we also tend to experience subjective reactions to their stylistic and structural properties. This experiment sought to determine how cognitive control and perceptual facilitation contribute to aesthetic perception along with the experience of emotion. Using functional MRI, we show that aesthetic perception activated bilateral insula which we attribute to the experience of emotion. Moreover, while adopting the aesthetic orientation activated the left lateral prefrontal cortex, paintings that facilitated visuospatial exploration activated the left superior parietal lobule. The results suggest that aesthetic experience is a function of the interaction between top-down orienting of attention and bottom-up perceptual facilitation.", "author" : [ { "dropping-particle" : "", "family" : "Cupchik", "given" : "Gerald C", "non-dropping-particle" : "", "parse-names" : false, "suffix" : "" }, { "dropping-particle" : "", "family" : "Vartanian", "given" : "Oshin", "non-dropping-particle" : "", "parse-names" : false, "suffix" : "" }, { "dropping-particle" : "", "family" : "Crawley", "given" : "Adrian", "non-dropping-particle" : "", "parse-names" : false, "suffix" : "" }, { "dropping-particle" : "", "family" : "Mikulis", "given" : "David J", "non-dropping-particle" : "", "parse-names" : false, "suffix" : "" } ], "container-title" : "Brain and cognition", "id" : "ITEM-2", "issue" : "1", "issued" : { "date-parts" : [ [ "2009", "6" ] ] }, "page" : "84-91", "publisher" : "Elsevier Inc.", "title" : "Viewing artworks: contributions of cognitive control and perceptual facilitation to aesthetic experience.", "type" : "article-journal", "volume" : "70" }, "uris" : [ "http://www.mendeley.com/documents/?uuid=16489651-3474-4399-ac0b-f1ad49abba07" ] } ], "mendeley" : { "formattedCitation" : "(Burgess, Dumontheil, &amp; Gilbert, 2005; Cupchik et al., 2009)", "plainTextFormattedCitation" : "(Burgess, Dumontheil, &amp; Gilbert, 2005; Cupchik et al., 2009)", "previouslyFormattedCitation" : "(Burgess, Dumontheil, &amp; Gilbert, 2005; Cupchik et al., 2009)"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(Burgess, Dumontheil, &amp; Gilbert, 200</w:t>
      </w:r>
      <w:r w:rsidR="00B71D2E">
        <w:rPr>
          <w:noProof/>
          <w:color w:val="auto"/>
          <w:lang w:val="en-GB"/>
        </w:rPr>
        <w:t>7</w:t>
      </w:r>
      <w:r w:rsidRPr="007A77EF">
        <w:rPr>
          <w:noProof/>
          <w:color w:val="auto"/>
          <w:lang w:val="en-GB"/>
        </w:rPr>
        <w:t>; Cupchik et al., 2009)</w:t>
      </w:r>
      <w:r w:rsidRPr="007A77EF">
        <w:rPr>
          <w:color w:val="auto"/>
          <w:lang w:val="en-GB"/>
        </w:rPr>
        <w:fldChar w:fldCharType="end"/>
      </w:r>
      <w:r w:rsidRPr="007A77EF">
        <w:rPr>
          <w:color w:val="auto"/>
          <w:lang w:val="en-GB"/>
        </w:rPr>
        <w:t xml:space="preserve">. Research into prospective memory, in which intentions need to be maintained in memory for delayed execution, suggest a fine grained dissociation between the medial and lateral rPFC </w:t>
      </w:r>
      <w:r w:rsidRPr="007A77EF">
        <w:rPr>
          <w:color w:val="auto"/>
          <w:lang w:val="en-GB"/>
        </w:rPr>
        <w:fldChar w:fldCharType="begin" w:fldLock="1"/>
      </w:r>
      <w:r w:rsidRPr="007A77EF">
        <w:rPr>
          <w:color w:val="auto"/>
          <w:lang w:val="en-GB"/>
        </w:rPr>
        <w:instrText>ADDIN CSL_CITATION { "citationItems" : [ { "id" : "ITEM-1", "itemData" : { "DOI" : "10.1016/j.tics.2007.05.004", "ISSN" : "1364-6613", "PMID" : "17548231", "abstract" : "Rostral prefrontal cortex (PFC) is a large brain region, and is unusually large in humans. Therefore, it seems likely that it might support functions that are central to cognition. However, until recently, almost nothing was known about what these functions might be. The 'gateway hypothesis' places these abilities at the centre of human mental processing. It maintains that rostral PFC supports mechanisms that enable us to attend, to a novel degree, either to environmental stimuli, or by contrast, to self-generated or maintained representations (i.e. the 'thoughts in our head'). In this way, investigations into the functions of rostral PFC will reveal key new insights into how human and non-human mental abilities differ.", "author" : [ { "dropping-particle" : "", "family" : "Burgess", "given" : "P W", "non-dropping-particle" : "", "parse-names" : false, "suffix" : "" }, { "dropping-particle" : "", "family" : "Dumontheil", "given" : "I", "non-dropping-particle" : "", "parse-names" : false, "suffix" : "" }, { "dropping-particle" : "", "family" : "Gilbert", "given" : "S J", "non-dropping-particle" : "", "parse-names" : false, "suffix" : "" } ], "container-title" : "Measuring the Mind: Speed, Control, and Age", "editor" : [ { "dropping-particle" : "", "family" : "Phillips, D.L. and McLeod", "given" : "P.", "non-dropping-particle" : "", "parse-names" : false, "suffix" : "" } ], "id" : "ITEM-1", "issue" : "7", "issued" : { "date-parts" : [ [ "2005", "7" ] ] }, "page" : "290-8", "publisher" : "Oxford University Press", "publisher-place" : "Oxford", "title" : "The gateway hypothesis of rostral prefrontal cortex (area 10) function.", "type" : "article-journal", "volume" : "11" }, "uris" : [ "http://www.mendeley.com/documents/?uuid=e79a7a9d-00e5-4227-b124-6d688ea58206" ] }, { "id" : "ITEM-2", "itemData" : { "DOI" : "10.1037/0735-7044.117.6.1161", "ISSN" : "0735-7044", "PMID" : "14674837", "abstract" : "The anterior or rostrolateral prefrontal cortex (RLPFC) is frequently recruited during complex cognitive tasks across a wide range of domains, including reasoning, long-term memory retrieval, and working memory. The authors report an event-related functional MRI study, indicating that the RLPFC is specifically involved in the evaluation of internally generated information--or information that cannot be readily perceived from the external environment but has to be inferred or self-generated. The findings are consistent with a hierarchical model of lateral prefrontal organization, with RLPFC contributing only at the highest orders of cognitive transformations. This characterization of RLPFC function may help explain seemingly disparate findings across multiple cognitive domains and could provide a unified account of this region's contribution to human cognition.", "author" : [ { "dropping-particle" : "", "family" : "Christoff", "given" : "Kalina", "non-dropping-particle" : "", "parse-names" : false, "suffix" : "" }, { "dropping-particle" : "", "family" : "Ream", "given" : "Justin M", "non-dropping-particle" : "", "parse-names" : false, "suffix" : "" }, { "dropping-particle" : "", "family" : "Geddes", "given" : "Leo P T", "non-dropping-particle" : "", "parse-names" : false, "suffix" : "" }, { "dropping-particle" : "", "family" : "Gabrieli", "given" : "John D E", "non-dropping-particle" : "", "parse-names" : false, "suffix" : "" } ], "container-title" : "Behavioral neuroscience", "id" : "ITEM-2", "issue" : "6", "issued" : { "date-parts" : [ [ "2003", "12" ] ] }, "page" : "1161-8", "title" : "Evaluating self-generated information: anterior prefrontal contributions to human cognition.", "type" : "article-journal", "volume" : "117" }, "uris" : [ "http://www.mendeley.com/documents/?uuid=26eda735-16fe-476a-ac6d-02c9f0835476" ] } ], "mendeley" : { "formattedCitation" : "(Burgess et al., 2005; Christoff, Ream, Geddes, &amp; Gabrieli, 2003)", "plainTextFormattedCitation" : "(Burgess et al., 2005; Christoff, Ream, Geddes, &amp; Gabrieli, 2003)", "previouslyFormattedCitation" : "(Burgess et al., 2005; Christoff, Ream, Geddes, &amp; Gabrieli, 2003)"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(Burgess et al., 200</w:t>
      </w:r>
      <w:r w:rsidR="00B71D2E">
        <w:rPr>
          <w:noProof/>
          <w:color w:val="auto"/>
          <w:lang w:val="en-GB"/>
        </w:rPr>
        <w:t>7</w:t>
      </w:r>
      <w:r w:rsidRPr="007A77EF">
        <w:rPr>
          <w:noProof/>
          <w:color w:val="auto"/>
          <w:lang w:val="en-GB"/>
        </w:rPr>
        <w:t>; Christoff, Ream, Geddes, &amp; Gabrieli, 2003)</w:t>
      </w:r>
      <w:r w:rsidRPr="007A77EF">
        <w:rPr>
          <w:color w:val="auto"/>
          <w:lang w:val="en-GB"/>
        </w:rPr>
        <w:fldChar w:fldCharType="end"/>
      </w:r>
      <w:r w:rsidRPr="007A77EF">
        <w:rPr>
          <w:color w:val="auto"/>
          <w:lang w:val="en-GB"/>
        </w:rPr>
        <w:t xml:space="preserve">, where lateral rPFC is involved in the maintenance of internally generated cognition. It has been found that lateral rPFC is involved in orienting attention to viewing images from an aesthetic viewpoint compared to viewing images from a pragmatic viewpoint </w:t>
      </w:r>
      <w:r w:rsidRPr="007A77EF">
        <w:rPr>
          <w:color w:val="auto"/>
          <w:lang w:val="en-GB"/>
        </w:rPr>
        <w:fldChar w:fldCharType="begin" w:fldLock="1"/>
      </w:r>
      <w:r w:rsidRPr="007A77EF">
        <w:rPr>
          <w:color w:val="auto"/>
          <w:lang w:val="en-GB"/>
        </w:rPr>
        <w:instrText>ADDIN CSL_CITATION { "citationItems" : [ { "id" : "ITEM-1", "itemData" : { "DOI" : "10.1016/j.bandc.2009.01.003", "ISSN" : "1090-2147", "PMID" : "19223099", "abstract" : "When we view visual images in everyday life, our perception is oriented toward object identification. In contrast, when viewing visual images as artworks, we also tend to experience subjective reactions to their stylistic and structural properties. This experiment sought to determine how cognitive control and perceptual facilitation contribute to aesthetic perception along with the experience of emotion. Using functional MRI, we show that aesthetic perception activated bilateral insula which we attribute to the experience of emotion. Moreover, while adopting the aesthetic orientation activated the left lateral prefrontal cortex, paintings that facilitated visuospatial exploration activated the left superior parietal lobule. The results suggest that aesthetic experience is a function of the interaction between top-down orienting of attention and bottom-up perceptual facilitation.", "author" : [ { "dropping-particle" : "", "family" : "Cupchik", "given" : "Gerald C", "non-dropping-particle" : "", "parse-names" : false, "suffix" : "" }, { "dropping-particle" : "", "family" : "Vartanian", "given" : "Oshin", "non-dropping-particle" : "", "parse-names" : false, "suffix" : "" }, { "dropping-particle" : "", "family" : "Crawley", "given" : "Adrian", "non-dropping-particle" : "", "parse-names" : false, "suffix" : "" }, { "dropping-particle" : "", "family" : "Mikulis", "given" : "David J", "non-dropping-particle" : "", "parse-names" : false, "suffix" : "" } ], "container-title" : "Brain and cognition", "id" : "ITEM-1", "issue" : "1", "issued" : { "date-parts" : [ [ "2009", "6" ] ] }, "page" : "84-91", "publisher" : "Elsevier Inc.", "title" : "Viewing artworks: contributions of cognitive control and perceptual facilitation to aesthetic experience.", "type" : "article-journal", "volume" : "70" }, "uris" : [ "http://www.mendeley.com/documents/?uuid=16489651-3474-4399-ac0b-f1ad49abba07" ] } ], "mendeley" : { "formattedCitation" : "(Cupchik et al., 2009)", "plainTextFormattedCitation" : "(Cupchik et al., 2009)", "previouslyFormattedCitation" : "(Cupchik et al., 2009)"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(Cupchik et al., 2009)</w:t>
      </w:r>
      <w:r w:rsidRPr="007A77EF">
        <w:rPr>
          <w:color w:val="auto"/>
          <w:lang w:val="en-GB"/>
        </w:rPr>
        <w:fldChar w:fldCharType="end"/>
      </w:r>
      <w:r w:rsidRPr="007A77EF">
        <w:rPr>
          <w:color w:val="auto"/>
          <w:lang w:val="en-GB"/>
        </w:rPr>
        <w:t>. Cupchik et al</w:t>
      </w:r>
      <w:r w:rsidR="00A5244D" w:rsidRPr="007A77EF">
        <w:rPr>
          <w:color w:val="auto"/>
          <w:lang w:val="en-GB"/>
        </w:rPr>
        <w:t>.</w:t>
      </w:r>
      <w:r w:rsidRPr="007A77EF">
        <w:rPr>
          <w:color w:val="auto"/>
          <w:lang w:val="en-GB"/>
        </w:rPr>
        <w:t xml:space="preserve"> (2009) interpreted activation of the lateral rPFC with respect to the maintenance and execution of the internally generated goal to approach the artworks from an aesthetic orientation. Our results support this interpretation and suggest that our participants found it more challenging to maintain this goal when </w:t>
      </w:r>
      <w:r w:rsidRPr="007A77EF">
        <w:t xml:space="preserve">thinking about the negative emotions an artist wants to portray in a </w:t>
      </w:r>
      <w:r w:rsidRPr="007A77EF">
        <w:lastRenderedPageBreak/>
        <w:t>painting</w:t>
      </w:r>
      <w:r w:rsidRPr="007A77EF">
        <w:rPr>
          <w:color w:val="auto"/>
          <w:lang w:val="en-GB"/>
        </w:rPr>
        <w:t>. This finding suggests that lateral rPFC is involved in the orientation of attention during aesthetic experience and attentional regulation was more challenging during second-order processing.</w:t>
      </w:r>
    </w:p>
    <w:p w14:paraId="19698EA1" w14:textId="7E13C487" w:rsidR="006D689A" w:rsidRPr="007A77EF" w:rsidRDefault="006D689A" w:rsidP="007A5546">
      <w:pPr>
        <w:pStyle w:val="BodyA"/>
        <w:spacing w:line="480" w:lineRule="auto"/>
        <w:ind w:firstLine="720"/>
        <w:rPr>
          <w:color w:val="auto"/>
          <w:lang w:val="en-GB"/>
        </w:rPr>
      </w:pPr>
      <w:r w:rsidRPr="007A77EF">
        <w:rPr>
          <w:color w:val="auto"/>
        </w:rPr>
        <w:t>The decrease of HHb during the viewing of negative images in the</w:t>
      </w:r>
      <w:r w:rsidRPr="007A77EF">
        <w:rPr>
          <w:color w:val="auto"/>
        </w:rPr>
        <w:t> </w:t>
      </w:r>
      <w:r w:rsidRPr="007A77EF">
        <w:rPr>
          <w:i/>
          <w:color w:val="auto"/>
        </w:rPr>
        <w:t>other</w:t>
      </w:r>
      <w:r w:rsidRPr="007A77EF">
        <w:rPr>
          <w:color w:val="auto"/>
        </w:rPr>
        <w:t xml:space="preserve">-condition could simply reflect increased rPFC activation due to cognitive demand associated with second-order processing.  Alternatively, this finding could be provoked by the detection of ambiguity or threat when images had negative emotional connotations. There is research to support the position that thinking about other people in a state of distress evokes negative affect in the observer </w:t>
      </w:r>
      <w:r w:rsidRPr="007A77EF">
        <w:fldChar w:fldCharType="begin" w:fldLock="1"/>
      </w:r>
      <w:r w:rsidRPr="007A77EF">
        <w:rPr>
          <w:color w:val="auto"/>
        </w:rPr>
        <w:instrText>ADDIN CSL_CITATION { "citationItems" : [ { "id" : "ITEM-1", "itemData" : { "DOI" : "10.1086/322897", "ISBN" : "0521449480", "ISSN" : "09637214", "PMID" : "20544488", "abstract" : "(From the introduction) The focus in this text is on rudimentary or primitive emotional contagion-that which is relatively automatic, unintentional, uncontrollable, and largely inaccessible to conversant awareness. This is defined as the tendency to automatically mimic and synchronize facial expressions, vocalizations, postures, and movements with those of another person, and consequently, to converge emotionally. Emotional contagion may well be important in personal relationships: It fosters behavioral synchrony and the tracking of the feelings of others moment to moment, even when individuals are not explicitly attending to this information. (PsycINFO Database Record (c) 2008 APA", "author" : [ { "dropping-particle" : "", "family" : "Hatfield", "given" : "Elaine", "non-dropping-particle" : "", "parse-names" : false, "suffix" : "" }, { "dropping-particle" : "", "family" : "Cacioppo", "given" : "John", "non-dropping-particle" : "", "parse-names" : false, "suffix" : "" }, { "dropping-particle" : "", "family" : "Rapson", "given" : "Richard", "non-dropping-particle" : "", "parse-names" : false, "suffix" : "" } ], "container-title" : "Current Directions in Psychological Science", "id" : "ITEM-1", "issue" : "3", "issued" : { "date-parts" : [ [ "1994" ] ] }, "page" : "96-99", "publisher" : "Cambridge University Press", "title" : "Emotional contagion", "type" : "article-journal", "volume" : "2" }, "uris" : [ "http://www.mendeley.com/documents/?uuid=0cd4927c-a802-40cf-8b12-a520ea6a0a44" ] } ], "mendeley" : { "formattedCitation" : "(Hatfield, Cacioppo, &amp; Rapson, 1994)", "plainTextFormattedCitation" : "(Hatfield, Cacioppo, &amp; Rapson, 1994)", "previouslyFormattedCitation" : "(Hatfield, Cacioppo, &amp; Rapson, 1994)" }, "properties" : { "noteIndex" : 0 }, "schema" : "https://github.com/citation-style-language/schema/raw/master/csl-citation.json" }</w:instrText>
      </w:r>
      <w:r w:rsidRPr="007A77EF">
        <w:fldChar w:fldCharType="separate"/>
      </w:r>
      <w:r w:rsidRPr="007A77EF">
        <w:rPr>
          <w:noProof/>
          <w:color w:val="auto"/>
        </w:rPr>
        <w:t>(Hatfield, Cacioppo, &amp; Rapson, 1994)</w:t>
      </w:r>
      <w:r w:rsidRPr="007A77EF">
        <w:fldChar w:fldCharType="end"/>
      </w:r>
      <w:r w:rsidRPr="007A77EF">
        <w:rPr>
          <w:color w:val="auto"/>
        </w:rPr>
        <w:t xml:space="preserve">; in addition, activation of the prefrontal cortex has been associated with the perception of real or imagined threat </w:t>
      </w:r>
      <w:r w:rsidRPr="007A77EF">
        <w:fldChar w:fldCharType="begin" w:fldLock="1"/>
      </w:r>
      <w:r w:rsidRPr="007A77EF">
        <w:rPr>
          <w:color w:val="auto"/>
        </w:rPr>
        <w:instrText>ADDIN CSL_CITATION { "citationItems" : [ { "id" : "ITEM-1", "itemData" : { "abstract" : "The neuropeptide vasopressin is a modulator of mammalian social behavior and emotion, particularly fear, aggression, and anxiety. In humans, the neural circuitry underlying behavioral effects of vasopressin is unknown. Using a double-blind crossover administration of 40 IU of vasopressin or placebo and functional MRI during processing of facial emotions in healthy male volunteers, we show that vasopressin specifically reduces differential activation in the subgenual cingulate cortex. Structural equation modeling of a previously evaluated circuit between amygdala, subgenual cingulate, and supragenual cingulate revealed altered effective connectivity between subgenual and supragenual cingulate under vasopressin. Our data demonstrate an impact of vasopressin on activity and connectivity in the cortical component of a medial prefrontal cortex-amygdala circuit implicated in emotional regulation, providing the first data on the neural basis for the effects of vasopressin on social behavior in humans with potential therapeutic significance for mood and anxiety disorders.", "author" : [ { "dropping-particle" : "", "family" : "Zink", "given" : "Caroline F", "non-dropping-particle" : "", "parse-names" : false, "suffix" : "" }, { "dropping-particle" : "", "family" : "Stein", "given" : "Jason L", "non-dropping-particle" : "", "parse-names" : false, "suffix" : "" }, { "dropping-particle" : "", "family" : "Kempf", "given" : "Lucas", "non-dropping-particle" : "", "parse-names" : false, "suffix" : "" }, { "dropping-particle" : "", "family" : "Hakimi", "given" : "Shabnam", "non-dropping-particle" : "", "parse-names" : false, "suffix" : "" }, { "dropping-particle" : "", "family" : "Meyer-Lindenberg", "given" : "Andreas", "non-dropping-particle" : "", "parse-names" : false, "suffix" : "" } ], "container-title" : "The Journal of neuroscience : the official journal of the Society for Neuroscience", "id" : "ITEM-1", "issue" : "20", "issued" : { "date-parts" : [ [ "2010" ] ] }, "page" : "7017-7022", "title" : "Vasopressin modulates medial prefrontal cortex-amygdala circuitry during emotion processing in humans.", "type" : "article-journal", "volume" : "30" }, "uris" : [ "http://www.mendeley.com/documents/?uuid=4f6daa5f-01b8-4329-b25a-05b9b45521c8" ] }, { "id" : "ITEM-2", "itemData" : { "PMID" : "23171614", "abstract" : "Understanding the neural processes that characterize elite performers is a first step to develop a neuroscience model that can be used to improve performance in stressful circumstances. Adventure racers are elite athletes that operate in small teams in the context of environmental and physical extremes. In particular, awareness of team member's emotional status is critical to the team's ability to navigate high-magnitude stressors. Thus, this functional magnetic resonance imaging (fMRI) study examined the hypothesis that adventure racers would show altered emotion processing in brain areas that are important for resilience and social awareness. Elite adventure racers (n = 10) were compared with healthy volunteers (n = 12) while performing a simple emotion face-processing (modified Hariri) task during fMRI. Across three types of emotional faces, adventure racers showed greater activation in right insula, left amygdala and dorsal anterior cingulate. Additionally, compared with healthy controls adventure racers showed attenuated right medial prefrontal cortex activation. These results are consistent with previous studies showing elite performers differentially activate neural substrates underlying interoception. Thus, adventure racers differentially deploy brain resources in an effort to recognize and process the internal sensations associated with emotions in others, which could be advantageous for team-based performance under stress.", "author" : [ { "dropping-particle" : "", "family" : "Thom", "given" : "Nathaniel J.", "non-dropping-particle" : "", "parse-names" : false, "suffix" : "" }, { "dropping-particle" : "", "family" : "Johnson", "given" : "Douglas C.", "non-dropping-particle" : "", "parse-names" : false, "suffix" : "" }, { "dropping-particle" : "", "family" : "Flagan", "given" : "Taru", "non-dropping-particle" : "", "parse-names" : false, "suffix" : "" }, { "dropping-particle" : "", "family" : "Simmons", "given" : "Alan N.", "non-dropping-particle" : "", "parse-names" : false, "suffix" : "" }, { "dropping-particle" : "", "family" : "Kotturi", "given" : "Sante A.", "non-dropping-particle" : "", "parse-names" : false, "suffix" : "" }, { "dropping-particle" : "", "family" : "Orden", "given" : "Karl F.", "non-dropping-particle" : "Van", "parse-names" : false, "suffix" : "" }, { "dropping-particle" : "", "family" : "Potterat", "given" : "Eric G.", "non-dropping-particle" : "", "parse-names" : false, "suffix" : "" }, { "dropping-particle" : "", "family" : "Swain", "given" : "Judith L.", "non-dropping-particle" : "", "parse-names" : false, "suffix" : "" }, { "dropping-particle" : "", "family" : "Paulus", "given" : "Martin P.", "non-dropping-particle" : "", "parse-names" : false, "suffix" : "" } ], "container-title" : "Social Cognitive and Affective Neuroscience", "id" : "ITEM-2", "issue" : "2", "issued" : { "date-parts" : [ [ "2014" ] ] }, "page" : "225-231", "title" : "Detecting emotion in others: Increased insula and decreased medial prefrontal cortex activation during emotion processing in elite adventure racers", "type" : "article-journal", "volume" : "9" }, "uris" : [ "http://www.mendeley.com/documents/?uuid=0d606c62-d8ea-4761-b595-c7ead85f8912" ] } ], "mendeley" : { "formattedCitation" : "(Thom et al., 2014; Zink, Stein, Kempf, Hakimi, &amp; Meyer-Lindenberg, 2010)", "plainTextFormattedCitation" : "(Thom et al., 2014; Zink, Stein, Kempf, Hakimi, &amp; Meyer-Lindenberg, 2010)", "previouslyFormattedCitation" : "(Thom et al., 2014; Zink, Stein, Kempf, Hakimi, &amp; Meyer-Lindenberg, 2010)" }, "properties" : { "noteIndex" : 0 }, "schema" : "https://github.com/citation-style-language/schema/raw/master/csl-citation.json" }</w:instrText>
      </w:r>
      <w:r w:rsidRPr="007A77EF">
        <w:fldChar w:fldCharType="separate"/>
      </w:r>
      <w:r w:rsidRPr="007A77EF">
        <w:rPr>
          <w:noProof/>
          <w:color w:val="auto"/>
        </w:rPr>
        <w:t>(Thom et al., 2014; Zink, Stein, Kempf, Hakimi, &amp; Meyer-Lindenberg, 2010)</w:t>
      </w:r>
      <w:r w:rsidRPr="007A77EF">
        <w:fldChar w:fldCharType="end"/>
      </w:r>
      <w:r w:rsidRPr="007A77EF">
        <w:rPr>
          <w:color w:val="auto"/>
        </w:rPr>
        <w:t xml:space="preserve">. </w:t>
      </w:r>
      <w:r w:rsidR="00A5244D" w:rsidRPr="007A77EF">
        <w:rPr>
          <w:color w:val="auto"/>
          <w:lang w:val="en-GB"/>
        </w:rPr>
        <w:t xml:space="preserve">The role of the rPFC in ToM has been highlighted by </w:t>
      </w:r>
      <w:r w:rsidR="00A5244D" w:rsidRPr="007A77EF">
        <w:rPr>
          <w:color w:val="auto"/>
          <w:lang w:val="en-GB"/>
        </w:rPr>
        <w:fldChar w:fldCharType="begin" w:fldLock="1"/>
      </w:r>
      <w:r w:rsidR="00A5244D" w:rsidRPr="007A77EF">
        <w:rPr>
          <w:color w:val="auto"/>
          <w:lang w:val="en-GB"/>
        </w:rPr>
        <w:instrText>ADDIN CSL_CITATION { "citationItems" : [ { "id" : "ITEM-1", "itemData" : { "DOI" : "10.1016/j.pscychresns.2014.08.007", "ISSN" : "1872-7123", "PMID" : "25284626", "abstract" : "Impaired social cognition, including emotion recognition, may explain dysfunctional emotional and social behaviour in patients with lesions to the ventromedial prefrontal cortex (VMPFC). However, the VMPFC is a large, poorly defined area that can be sub-divided into orbital and medial sectors. We sought to investigate social cognition in patients with discrete, surgically circumscribed prefrontal lesions. Twenty-seven patients between 1 and 12 months post-neurosurgery were divided into groups based on Brodmann areas resected, determined by post-surgical magnetic resonance imaging. We hypothesised that patients with lesions to the VMPFC (n=5), anterior cingulate cortex (n=4), orbitofrontal cortex (n=7) and dorsolateral prefrontal cortex (DLPFC, n=11) would perform worse than a control group of 26 extra-cerebral neurosurgery patients on measures of dynamic facial emotion recognition, theory of mind (ToM) and empathy. Results indicated the VMPFC-lesioned group performed significantly worse than the control group on the facial emotion recognition task overall, and for fear specifically, and performed worse on the ToM measure. The DLPFC group also performed worse on the ToM and empathy measures, but DLPFC lesion location was not a predictor of performance in hierarchical multiple regressions that accounted for other variables, including the reduced estimated verbal IQ in this group. It was concluded that isolated orbital or medial prefrontal lesions are not sufficient to produce impairments in social cognition. This is the first study to demonstrate that it is the combination of lesions to both areas that affect social cognition, irrespective of lesion volume. While group sizes were similar to other comparable studies that included patients with discrete, surgically circumscribed lesions to the prefrontal cortex, future large, multi-site studies are needed to collect larger samples and confirm these results.", "author" : [ { "dropping-particle" : "", "family" : "Jenkins", "given" : "Lisanne Michelle", "non-dropping-particle" : "", "parse-names" : false, "suffix" : "" }, { "dropping-particle" : "", "family" : "Andrewes", "given" : "David Gordon", "non-dropping-particle" : "", "parse-names" : false, "suffix" : "" }, { "dropping-particle" : "", "family" : "Nicholas", "given" : "Christian Luke", "non-dropping-particle" : "", "parse-names" : false, "suffix" : "" }, { "dropping-particle" : "", "family" : "Drummond", "given" : "Katharine Jann", "non-dropping-particle" : "", "parse-names" : false, "suffix" : "" }, { "dropping-particle" : "", "family" : "Moffat", "given" : "Bradford Armstrong", "non-dropping-particle" : "", "parse-names" : false, "suffix" : "" }, { "dropping-particle" : "", "family" : "Phal", "given" : "Pramit", "non-dropping-particle" : "", "parse-names" : false, "suffix" : "" }, { "dropping-particle" : "", "family" : "Desmond", "given" : "Patricia", "non-dropping-particle" : "", "parse-names" : false, "suffix" : "" }, { "dropping-particle" : "", "family" : "Kessels", "given" : "Roy Peter Caspar", "non-dropping-particle" : "", "parse-names" : false, "suffix" : "" } ], "container-title" : "Psychiatry research", "id" : "ITEM-1", "issue" : "3", "issued" : { "date-parts" : [ [ "2014", "12", "30" ] ] }, "page" : "192-203", "publisher" : "Elsevier", "title" : "Social cognition in patients following surgery to the prefrontal cortex.", "type" : "article-journal", "volume" : "224" }, "uris" : [ "http://www.mendeley.com/documents/?uuid=7e14ae52-e29a-4438-b2e6-5d97b78794e6", "http://www.mendeley.com/documents/?uuid=40a5a8ca-471c-48ee-8a2a-20c5bb423681" ] } ], "mendeley" : { "formattedCitation" : "(Jenkins et al., 2014)", "manualFormatting" : "Jenkins et al., (2014)", "plainTextFormattedCitation" : "(Jenkins et al., 2014)", "previouslyFormattedCitation" : "(Jenkins et al., 2014)" }, "properties" : { "noteIndex" : 0 }, "schema" : "https://github.com/citation-style-language/schema/raw/master/csl-citation.json" }</w:instrText>
      </w:r>
      <w:r w:rsidR="00A5244D" w:rsidRPr="007A77EF">
        <w:rPr>
          <w:color w:val="auto"/>
          <w:lang w:val="en-GB"/>
        </w:rPr>
        <w:fldChar w:fldCharType="separate"/>
      </w:r>
      <w:r w:rsidR="00A5244D" w:rsidRPr="007A77EF">
        <w:rPr>
          <w:noProof/>
          <w:color w:val="auto"/>
          <w:lang w:val="en-GB"/>
        </w:rPr>
        <w:t>Jenkins et al., (2014)</w:t>
      </w:r>
      <w:r w:rsidR="00A5244D" w:rsidRPr="007A77EF">
        <w:rPr>
          <w:color w:val="auto"/>
          <w:lang w:val="en-GB"/>
        </w:rPr>
        <w:fldChar w:fldCharType="end"/>
      </w:r>
      <w:r w:rsidR="00A5244D" w:rsidRPr="007A77EF">
        <w:rPr>
          <w:color w:val="auto"/>
          <w:lang w:val="en-GB"/>
        </w:rPr>
        <w:t xml:space="preserve"> who found that patients with lesions to this area were significantly impaired with respect to the detection of emotions in others, particularly when the emotion was associated with fear. </w:t>
      </w:r>
      <w:r w:rsidRPr="007A77EF">
        <w:rPr>
          <w:color w:val="auto"/>
          <w:lang w:val="en-GB"/>
        </w:rPr>
        <w:t>Th</w:t>
      </w:r>
      <w:r w:rsidR="00A5244D" w:rsidRPr="007A77EF">
        <w:rPr>
          <w:color w:val="auto"/>
          <w:lang w:val="en-GB"/>
        </w:rPr>
        <w:t>ese</w:t>
      </w:r>
      <w:r w:rsidRPr="007A77EF">
        <w:rPr>
          <w:color w:val="auto"/>
          <w:lang w:val="en-GB"/>
        </w:rPr>
        <w:t xml:space="preserve"> result</w:t>
      </w:r>
      <w:r w:rsidR="00A5244D" w:rsidRPr="007A77EF">
        <w:rPr>
          <w:color w:val="auto"/>
          <w:lang w:val="en-GB"/>
        </w:rPr>
        <w:t>s</w:t>
      </w:r>
      <w:r w:rsidRPr="007A77EF">
        <w:rPr>
          <w:color w:val="auto"/>
          <w:lang w:val="en-GB"/>
        </w:rPr>
        <w:t xml:space="preserve"> supports the hypothesis that the cognitive demand of second-order processing was intensified in the presence of negative emotion. </w:t>
      </w:r>
    </w:p>
    <w:p w14:paraId="4471AEAC" w14:textId="6958F069" w:rsidR="00406900" w:rsidRPr="007A77EF" w:rsidRDefault="00F176F8" w:rsidP="00406900">
      <w:pPr>
        <w:pStyle w:val="BodyA"/>
        <w:spacing w:line="480" w:lineRule="auto"/>
        <w:ind w:firstLine="720"/>
        <w:rPr>
          <w:color w:val="auto"/>
          <w:lang w:val="en-GB"/>
        </w:rPr>
      </w:pPr>
      <w:r w:rsidRPr="007A77EF">
        <w:rPr>
          <w:color w:val="auto"/>
          <w:lang w:val="en-GB"/>
        </w:rPr>
        <w:t xml:space="preserve">An earlier study </w:t>
      </w:r>
      <w:r w:rsidRPr="007A77EF">
        <w:fldChar w:fldCharType="begin" w:fldLock="1"/>
      </w:r>
      <w:r w:rsidRPr="007A77EF">
        <w:rPr>
          <w:color w:val="auto"/>
          <w:lang w:val="en-GB"/>
        </w:rPr>
        <w:instrText>ADDIN CSL_CITATION { "citationItems" : [ { "id" : "ITEM-1", "itemData" : { "DOI" : "10.3389/fnhum.2013.00879", "ISSN" : "1662-5161", "PMID" : "24391572", "abstract" : "The contemplation of visual art requires attention to be directed to external stimulus properties and internally generated thoughts. It has been proposed that the medial rostral prefrontal cortex (rPFC; BA10) plays a role in the maintenance of attention on external stimuli whereas the lateral area of the rPFC is associated with the preservation of attention on internal cognitions. An alternative hypothesis associates activation of medial rPFC with internal cognitions related to the self during emotion regulation. The aim of the current study was to differentiate activation within rPFC using functional near infrared spectroscopy (fNIRS) during the viewing of visual art selected to induce positive and negative valence, which were viewed under two conditions: (1) emotional introspection and (2) external object identification. Thirty participants (15 female) were recruited. Sixteen pre-rated images that represented either positive or negative valence were selected from an existing database of visual art. In one condition, participants were directed to engage in emotional introspection during picture viewing. The second condition involved a spot-the-difference task where participants compared two almost identical images, a viewing strategy that directed attention to external properties of the stimuli. The analysis revealed a significant increase of oxygenated blood in the medial rPFC during viewing of positive images compared to negative images. This finding suggests that the rPFC is involved during positive evaluations of visual art that may be related to judgment of pleasantness or attraction. The fNIRS data revealed no significant main effect between the two viewing conditions, which seemed to indicate that the emotional impact of the stimuli remained unaffected by the two viewing conditions.", "author" : [ { "dropping-particle" : "", "family" : "Kreplin", "given" : "Ute", "non-dropping-particle" : "", "parse-names" : false, "suffix" : "" }, { "dropping-particle" : "", "family" : "Fairclough", "given" : "Stephen H", "non-dropping-particle" : "", "parse-names" : false, "suffix" : "" } ], "container-title" : "Frontiers in human neuroscience", "id" : "ITEM-1", "issue" : "December", "issued" : { "date-parts" : [ [ "2013", "1" ] ] }, "page" : "879", "title" : "Activation of the rostromedial prefrontal cortex during the experience of positive emotion in the context of esthetic experience. An fNIRS study.", "type" : "article-journal", "volume" : "7" }, "uris" : [ "http://www.mendeley.com/documents/?uuid=eef7ce12-581f-4d7d-9c79-d0d62a2f0782" ] } ], "mendeley" : { "formattedCitation" : "(Kreplin &amp; Fairclough, 2013)", "plainTextFormattedCitation" : "(Kreplin &amp; Fairclough, 2013)", "previouslyFormattedCitation" : "(Kreplin &amp; Fairclough, 2013)" }, "properties" : { "noteIndex" : 0 }, "schema" : "https://github.com/citation-style-language/schema/raw/master/csl-citation.json" }</w:instrText>
      </w:r>
      <w:r w:rsidRPr="007A77EF">
        <w:fldChar w:fldCharType="separate"/>
      </w:r>
      <w:r w:rsidRPr="007A77EF">
        <w:rPr>
          <w:noProof/>
          <w:color w:val="auto"/>
          <w:lang w:val="en-GB"/>
        </w:rPr>
        <w:t>(Kreplin &amp; Fairclough, 2013)</w:t>
      </w:r>
      <w:r w:rsidRPr="007A77EF">
        <w:fldChar w:fldCharType="end"/>
      </w:r>
      <w:r w:rsidRPr="007A77EF">
        <w:rPr>
          <w:color w:val="auto"/>
          <w:lang w:val="en-GB"/>
        </w:rPr>
        <w:t xml:space="preserve"> </w:t>
      </w:r>
      <w:r w:rsidR="009C5EDC" w:rsidRPr="007A77EF">
        <w:rPr>
          <w:color w:val="auto"/>
          <w:lang w:val="en-GB"/>
        </w:rPr>
        <w:t>employ</w:t>
      </w:r>
      <w:r w:rsidR="00553084" w:rsidRPr="007A77EF">
        <w:rPr>
          <w:color w:val="auto"/>
          <w:lang w:val="en-GB"/>
        </w:rPr>
        <w:t>ing</w:t>
      </w:r>
      <w:r w:rsidRPr="007A77EF">
        <w:rPr>
          <w:color w:val="auto"/>
          <w:lang w:val="en-GB"/>
        </w:rPr>
        <w:t xml:space="preserve"> the same stimuli </w:t>
      </w:r>
      <w:r w:rsidR="004F4820" w:rsidRPr="007A77EF">
        <w:rPr>
          <w:color w:val="auto"/>
          <w:lang w:val="en-GB"/>
        </w:rPr>
        <w:t xml:space="preserve">reported an </w:t>
      </w:r>
      <w:r w:rsidRPr="007A77EF">
        <w:rPr>
          <w:color w:val="auto"/>
          <w:lang w:val="en-GB"/>
        </w:rPr>
        <w:t>increase</w:t>
      </w:r>
      <w:r w:rsidR="004F4820" w:rsidRPr="007A77EF">
        <w:rPr>
          <w:color w:val="auto"/>
          <w:lang w:val="en-GB"/>
        </w:rPr>
        <w:t xml:space="preserve"> of</w:t>
      </w:r>
      <w:r w:rsidRPr="007A77EF">
        <w:rPr>
          <w:color w:val="auto"/>
          <w:lang w:val="en-GB"/>
        </w:rPr>
        <w:t xml:space="preserve"> mean </w:t>
      </w:r>
      <w:r w:rsidR="009B3297" w:rsidRPr="007A77EF">
        <w:rPr>
          <w:color w:val="auto"/>
          <w:lang w:val="en-GB"/>
        </w:rPr>
        <w:t>HbO</w:t>
      </w:r>
      <w:r w:rsidRPr="007A77EF">
        <w:rPr>
          <w:color w:val="auto"/>
          <w:lang w:val="en-GB"/>
        </w:rPr>
        <w:t xml:space="preserve"> at </w:t>
      </w:r>
      <w:r w:rsidR="005D7326" w:rsidRPr="007A77EF">
        <w:rPr>
          <w:color w:val="auto"/>
          <w:lang w:val="en-GB"/>
        </w:rPr>
        <w:t xml:space="preserve">the </w:t>
      </w:r>
      <w:r w:rsidRPr="007A77EF">
        <w:rPr>
          <w:color w:val="auto"/>
          <w:lang w:val="en-GB"/>
        </w:rPr>
        <w:t>medial area of the rPFC when participants viewed positive pictures</w:t>
      </w:r>
      <w:r w:rsidR="005D7326" w:rsidRPr="007A77EF">
        <w:rPr>
          <w:color w:val="auto"/>
          <w:lang w:val="en-GB"/>
        </w:rPr>
        <w:t xml:space="preserve">. </w:t>
      </w:r>
      <w:r w:rsidR="00F0017A" w:rsidRPr="007A77EF">
        <w:rPr>
          <w:color w:val="auto"/>
          <w:lang w:val="en-GB"/>
        </w:rPr>
        <w:t xml:space="preserve">The current </w:t>
      </w:r>
      <w:r w:rsidR="00553084" w:rsidRPr="007A77EF">
        <w:rPr>
          <w:color w:val="auto"/>
          <w:lang w:val="en-GB"/>
        </w:rPr>
        <w:t>experiment</w:t>
      </w:r>
      <w:r w:rsidR="00F0017A" w:rsidRPr="007A77EF">
        <w:rPr>
          <w:color w:val="auto"/>
          <w:lang w:val="en-GB"/>
        </w:rPr>
        <w:t xml:space="preserve"> </w:t>
      </w:r>
      <w:r w:rsidR="004F4820" w:rsidRPr="007A77EF">
        <w:rPr>
          <w:color w:val="auto"/>
          <w:lang w:val="en-GB"/>
        </w:rPr>
        <w:t xml:space="preserve">revealed </w:t>
      </w:r>
      <w:r w:rsidR="00BB165A" w:rsidRPr="007A77EF">
        <w:rPr>
          <w:color w:val="auto"/>
          <w:lang w:val="en-GB"/>
        </w:rPr>
        <w:t xml:space="preserve">a significant </w:t>
      </w:r>
      <w:r w:rsidR="00B75595" w:rsidRPr="007A77EF">
        <w:rPr>
          <w:color w:val="auto"/>
          <w:lang w:val="en-GB"/>
        </w:rPr>
        <w:t xml:space="preserve">decrease </w:t>
      </w:r>
      <w:r w:rsidR="004D38DF" w:rsidRPr="007A77EF">
        <w:rPr>
          <w:color w:val="auto"/>
          <w:lang w:val="en-GB"/>
        </w:rPr>
        <w:t>of</w:t>
      </w:r>
      <w:r w:rsidR="00B75595" w:rsidRPr="007A77EF">
        <w:rPr>
          <w:color w:val="auto"/>
          <w:lang w:val="en-GB"/>
        </w:rPr>
        <w:t xml:space="preserve"> HHb </w:t>
      </w:r>
      <w:r w:rsidR="00553084" w:rsidRPr="007A77EF">
        <w:rPr>
          <w:color w:val="auto"/>
          <w:lang w:val="en-GB"/>
        </w:rPr>
        <w:t>in</w:t>
      </w:r>
      <w:r w:rsidR="009B4AA6" w:rsidRPr="007A77EF">
        <w:rPr>
          <w:color w:val="auto"/>
          <w:lang w:val="en-GB"/>
        </w:rPr>
        <w:t xml:space="preserve"> the right medial area of the rPFC when participants viewed </w:t>
      </w:r>
      <w:r w:rsidR="00BB165A" w:rsidRPr="007A77EF">
        <w:rPr>
          <w:color w:val="auto"/>
          <w:lang w:val="en-GB"/>
        </w:rPr>
        <w:t xml:space="preserve">positive </w:t>
      </w:r>
      <w:r w:rsidR="009B4AA6" w:rsidRPr="007A77EF">
        <w:rPr>
          <w:color w:val="auto"/>
          <w:lang w:val="en-GB"/>
        </w:rPr>
        <w:t xml:space="preserve">compared to negative </w:t>
      </w:r>
      <w:r w:rsidR="00BB165A" w:rsidRPr="007A77EF">
        <w:rPr>
          <w:color w:val="auto"/>
          <w:lang w:val="en-GB"/>
        </w:rPr>
        <w:t xml:space="preserve">images </w:t>
      </w:r>
      <w:r w:rsidR="009B4AA6" w:rsidRPr="007A77EF">
        <w:rPr>
          <w:color w:val="auto"/>
          <w:lang w:val="en-GB"/>
        </w:rPr>
        <w:t>during</w:t>
      </w:r>
      <w:r w:rsidR="009C5EDC" w:rsidRPr="007A77EF">
        <w:rPr>
          <w:color w:val="auto"/>
          <w:lang w:val="en-GB"/>
        </w:rPr>
        <w:t xml:space="preserve"> the </w:t>
      </w:r>
      <w:r w:rsidR="009C5EDC" w:rsidRPr="007A77EF">
        <w:rPr>
          <w:i/>
          <w:color w:val="auto"/>
          <w:lang w:val="en-GB"/>
        </w:rPr>
        <w:t>self</w:t>
      </w:r>
      <w:r w:rsidR="00B75595" w:rsidRPr="007A77EF">
        <w:rPr>
          <w:color w:val="auto"/>
          <w:lang w:val="en-GB"/>
        </w:rPr>
        <w:t>-condition</w:t>
      </w:r>
      <w:r w:rsidR="00BB165A" w:rsidRPr="007A77EF">
        <w:rPr>
          <w:color w:val="auto"/>
          <w:lang w:val="en-GB"/>
        </w:rPr>
        <w:t xml:space="preserve"> (Fig.</w:t>
      </w:r>
      <w:r w:rsidR="009B4AA6" w:rsidRPr="007A77EF">
        <w:rPr>
          <w:color w:val="auto"/>
          <w:lang w:val="en-GB"/>
        </w:rPr>
        <w:t xml:space="preserve"> </w:t>
      </w:r>
      <w:r w:rsidR="00BB165A" w:rsidRPr="007A77EF">
        <w:rPr>
          <w:color w:val="auto"/>
          <w:lang w:val="en-GB"/>
        </w:rPr>
        <w:t>6).</w:t>
      </w:r>
      <w:r w:rsidR="0032738B" w:rsidRPr="007A77EF">
        <w:rPr>
          <w:color w:val="auto"/>
          <w:lang w:val="en-GB"/>
        </w:rPr>
        <w:t xml:space="preserve"> </w:t>
      </w:r>
      <w:r w:rsidR="005D7326" w:rsidRPr="007A77EF">
        <w:rPr>
          <w:color w:val="auto"/>
          <w:lang w:val="en-GB"/>
        </w:rPr>
        <w:t>Th</w:t>
      </w:r>
      <w:r w:rsidR="009B4AA6" w:rsidRPr="007A77EF">
        <w:rPr>
          <w:color w:val="auto"/>
          <w:lang w:val="en-GB"/>
        </w:rPr>
        <w:t>is</w:t>
      </w:r>
      <w:r w:rsidR="00F0017A" w:rsidRPr="007A77EF">
        <w:rPr>
          <w:color w:val="auto"/>
          <w:lang w:val="en-GB"/>
        </w:rPr>
        <w:t xml:space="preserve"> effect </w:t>
      </w:r>
      <w:r w:rsidR="009B4AA6" w:rsidRPr="007A77EF">
        <w:rPr>
          <w:color w:val="auto"/>
          <w:lang w:val="en-GB"/>
        </w:rPr>
        <w:t xml:space="preserve">could be related to the increase of HbO in response to positive images that was reported in the earlier study (Kreplin &amp; Fairclough, 2013).  However, there are methodological differences between the current study and the earlier one, for instance, participants in the initial study were instructed to focus on how the image made them feel as opposed to the instructions to evoke autobiographical memories </w:t>
      </w:r>
      <w:r w:rsidR="00553084" w:rsidRPr="007A77EF">
        <w:rPr>
          <w:color w:val="auto"/>
          <w:lang w:val="en-GB"/>
        </w:rPr>
        <w:t xml:space="preserve">used </w:t>
      </w:r>
      <w:r w:rsidR="009B4AA6" w:rsidRPr="007A77EF">
        <w:rPr>
          <w:color w:val="auto"/>
          <w:lang w:val="en-GB"/>
        </w:rPr>
        <w:t xml:space="preserve">in the </w:t>
      </w:r>
      <w:r w:rsidR="009B4AA6" w:rsidRPr="007A77EF">
        <w:rPr>
          <w:color w:val="auto"/>
          <w:lang w:val="en-GB"/>
        </w:rPr>
        <w:lastRenderedPageBreak/>
        <w:t xml:space="preserve">current </w:t>
      </w:r>
      <w:r w:rsidR="00553084" w:rsidRPr="007A77EF">
        <w:rPr>
          <w:color w:val="auto"/>
          <w:lang w:val="en-GB"/>
        </w:rPr>
        <w:t xml:space="preserve">experiment. </w:t>
      </w:r>
      <w:r w:rsidR="009B4AA6" w:rsidRPr="007A77EF">
        <w:rPr>
          <w:color w:val="auto"/>
          <w:lang w:val="en-GB"/>
        </w:rPr>
        <w:t xml:space="preserve"> </w:t>
      </w:r>
      <w:r w:rsidR="00406900" w:rsidRPr="007A77EF">
        <w:rPr>
          <w:color w:val="auto"/>
          <w:lang w:val="en-GB"/>
        </w:rPr>
        <w:t xml:space="preserve">Vessel et al. (2012; 2013) suggested that the medial rPFC is activated when an artwork </w:t>
      </w:r>
      <w:r w:rsidR="00406900" w:rsidRPr="007A77EF">
        <w:rPr>
          <w:color w:val="auto"/>
          <w:lang w:val="en-GB"/>
        </w:rPr>
        <w:t>‘</w:t>
      </w:r>
      <w:r w:rsidR="00406900" w:rsidRPr="007A77EF">
        <w:rPr>
          <w:color w:val="auto"/>
          <w:lang w:val="en-GB"/>
        </w:rPr>
        <w:t>strikes a chord</w:t>
      </w:r>
      <w:r w:rsidR="00406900" w:rsidRPr="007A77EF">
        <w:rPr>
          <w:color w:val="auto"/>
          <w:lang w:val="en-GB"/>
        </w:rPr>
        <w:t>’</w:t>
      </w:r>
      <w:r w:rsidR="00406900" w:rsidRPr="007A77EF">
        <w:rPr>
          <w:color w:val="auto"/>
          <w:lang w:val="en-GB"/>
        </w:rPr>
        <w:t xml:space="preserve"> in the viewer signifying intense personal meaning. This effect observed in the current study could reflect a positivity bias wherein contemplation of positive emotional stimuli associated with the self are experienced as intrinsically rewarding. This bias</w:t>
      </w:r>
      <w:r w:rsidR="006A7E57" w:rsidRPr="007A77EF">
        <w:rPr>
          <w:color w:val="auto"/>
          <w:lang w:val="en-GB"/>
        </w:rPr>
        <w:t>, and its association to the prefrontal cortex,</w:t>
      </w:r>
      <w:r w:rsidR="00406900" w:rsidRPr="007A77EF">
        <w:rPr>
          <w:color w:val="auto"/>
          <w:lang w:val="en-GB"/>
        </w:rPr>
        <w:t xml:space="preserve"> has been demonstrated by Viviani et al. (2010)</w:t>
      </w:r>
      <w:r w:rsidR="00962EEF" w:rsidRPr="007A77EF">
        <w:rPr>
          <w:color w:val="auto"/>
          <w:lang w:val="en-GB"/>
        </w:rPr>
        <w:t xml:space="preserve"> in a scrambled sentences task. </w:t>
      </w:r>
    </w:p>
    <w:p w14:paraId="17EEF29F" w14:textId="40BB6BD6" w:rsidR="006D689A" w:rsidRPr="007A77EF" w:rsidRDefault="00406900" w:rsidP="00553084">
      <w:pPr>
        <w:pStyle w:val="BodyA"/>
        <w:spacing w:line="480" w:lineRule="auto"/>
        <w:ind w:firstLine="720"/>
        <w:rPr>
          <w:color w:val="auto"/>
          <w:lang w:val="en-GB"/>
        </w:rPr>
      </w:pPr>
      <w:r w:rsidRPr="007A77EF">
        <w:rPr>
          <w:color w:val="auto"/>
          <w:lang w:val="en-GB"/>
        </w:rPr>
        <w:t>The</w:t>
      </w:r>
      <w:r w:rsidR="00553084" w:rsidRPr="007A77EF">
        <w:rPr>
          <w:color w:val="auto"/>
          <w:lang w:val="en-GB"/>
        </w:rPr>
        <w:t xml:space="preserve"> design of the</w:t>
      </w:r>
      <w:r w:rsidR="0032738B" w:rsidRPr="007A77EF">
        <w:rPr>
          <w:color w:val="auto"/>
          <w:lang w:val="en-GB"/>
        </w:rPr>
        <w:t xml:space="preserve"> </w:t>
      </w:r>
      <w:r w:rsidR="000A30C7" w:rsidRPr="007A77EF">
        <w:rPr>
          <w:color w:val="auto"/>
          <w:lang w:val="en-GB"/>
        </w:rPr>
        <w:t xml:space="preserve">current </w:t>
      </w:r>
      <w:r w:rsidR="0032738B" w:rsidRPr="007A77EF">
        <w:rPr>
          <w:color w:val="auto"/>
          <w:lang w:val="en-GB"/>
        </w:rPr>
        <w:t xml:space="preserve">study </w:t>
      </w:r>
      <w:r w:rsidRPr="007A77EF">
        <w:rPr>
          <w:color w:val="auto"/>
          <w:lang w:val="en-GB"/>
        </w:rPr>
        <w:t>permitted</w:t>
      </w:r>
      <w:r w:rsidR="00553084" w:rsidRPr="007A77EF">
        <w:rPr>
          <w:color w:val="auto"/>
          <w:lang w:val="en-GB"/>
        </w:rPr>
        <w:t xml:space="preserve"> only a relative comparison between</w:t>
      </w:r>
      <w:r w:rsidRPr="007A77EF">
        <w:rPr>
          <w:color w:val="auto"/>
          <w:lang w:val="en-GB"/>
        </w:rPr>
        <w:t xml:space="preserve"> the influence</w:t>
      </w:r>
      <w:r w:rsidR="00553084" w:rsidRPr="007A77EF">
        <w:rPr>
          <w:color w:val="auto"/>
          <w:lang w:val="en-GB"/>
        </w:rPr>
        <w:t xml:space="preserve"> of positive and negative images on rPFC activation.  Therefore, the contrast between HHb for positive vs. negative images (Fig. 6) could be interpreted as increased activation in response to positive valence or </w:t>
      </w:r>
      <w:r w:rsidRPr="007A77EF">
        <w:rPr>
          <w:color w:val="auto"/>
          <w:lang w:val="en-GB"/>
        </w:rPr>
        <w:t xml:space="preserve">a </w:t>
      </w:r>
      <w:r w:rsidR="00553084" w:rsidRPr="007A77EF">
        <w:rPr>
          <w:color w:val="auto"/>
          <w:lang w:val="en-GB"/>
        </w:rPr>
        <w:t xml:space="preserve">deactivation of the rPFC </w:t>
      </w:r>
      <w:r w:rsidR="0032738B" w:rsidRPr="007A77EF">
        <w:rPr>
          <w:color w:val="auto"/>
          <w:lang w:val="en-GB"/>
        </w:rPr>
        <w:t xml:space="preserve">when participants were asked to contemplate negative images in the </w:t>
      </w:r>
      <w:r w:rsidR="0032738B" w:rsidRPr="007A77EF">
        <w:rPr>
          <w:i/>
        </w:rPr>
        <w:t>self</w:t>
      </w:r>
      <w:r w:rsidR="0032738B" w:rsidRPr="007A77EF">
        <w:rPr>
          <w:color w:val="auto"/>
          <w:lang w:val="en-GB"/>
        </w:rPr>
        <w:t>-condition.  Th</w:t>
      </w:r>
      <w:r w:rsidR="00553084" w:rsidRPr="007A77EF">
        <w:rPr>
          <w:color w:val="auto"/>
          <w:lang w:val="en-GB"/>
        </w:rPr>
        <w:t>e latter</w:t>
      </w:r>
      <w:r w:rsidR="0032738B" w:rsidRPr="007A77EF">
        <w:rPr>
          <w:color w:val="auto"/>
          <w:lang w:val="en-GB"/>
        </w:rPr>
        <w:t xml:space="preserve"> </w:t>
      </w:r>
      <w:r w:rsidR="000A30C7" w:rsidRPr="007A77EF">
        <w:rPr>
          <w:color w:val="auto"/>
          <w:lang w:val="en-GB"/>
        </w:rPr>
        <w:t xml:space="preserve">interpretation </w:t>
      </w:r>
      <w:r w:rsidR="00553084" w:rsidRPr="007A77EF">
        <w:rPr>
          <w:color w:val="auto"/>
          <w:lang w:val="en-GB"/>
        </w:rPr>
        <w:t xml:space="preserve">could be </w:t>
      </w:r>
      <w:r w:rsidRPr="007A77EF">
        <w:rPr>
          <w:color w:val="auto"/>
          <w:lang w:val="en-GB"/>
        </w:rPr>
        <w:t>indicative of</w:t>
      </w:r>
      <w:r w:rsidR="00553084" w:rsidRPr="007A77EF">
        <w:rPr>
          <w:color w:val="auto"/>
          <w:lang w:val="en-GB"/>
        </w:rPr>
        <w:t xml:space="preserve"> </w:t>
      </w:r>
      <w:r w:rsidRPr="007A77EF">
        <w:rPr>
          <w:color w:val="auto"/>
          <w:lang w:val="en-GB"/>
        </w:rPr>
        <w:t xml:space="preserve">a strategy of </w:t>
      </w:r>
      <w:r w:rsidR="0032738B" w:rsidRPr="007A77EF">
        <w:rPr>
          <w:color w:val="auto"/>
          <w:lang w:val="en-GB"/>
        </w:rPr>
        <w:t xml:space="preserve">active disengagement with negative material that relates to distancing and the use of active self-regulation to inhibit </w:t>
      </w:r>
      <w:r w:rsidRPr="007A77EF">
        <w:rPr>
          <w:color w:val="auto"/>
          <w:lang w:val="en-GB"/>
        </w:rPr>
        <w:t xml:space="preserve">a </w:t>
      </w:r>
      <w:r w:rsidR="0032738B" w:rsidRPr="007A77EF">
        <w:rPr>
          <w:color w:val="auto"/>
          <w:lang w:val="en-GB"/>
        </w:rPr>
        <w:t xml:space="preserve">negative </w:t>
      </w:r>
      <w:r w:rsidRPr="007A77EF">
        <w:rPr>
          <w:color w:val="auto"/>
          <w:lang w:val="en-GB"/>
        </w:rPr>
        <w:t xml:space="preserve">emotional experience </w:t>
      </w:r>
      <w:r w:rsidR="00FB76AD" w:rsidRPr="007A77EF">
        <w:rPr>
          <w:color w:val="auto"/>
          <w:lang w:val="en-GB"/>
        </w:rPr>
        <w:fldChar w:fldCharType="begin" w:fldLock="1"/>
      </w:r>
      <w:r w:rsidR="00FF5D3C" w:rsidRPr="007A77EF">
        <w:rPr>
          <w:color w:val="auto"/>
          <w:lang w:val="en-GB"/>
        </w:rPr>
        <w:instrText>ADDIN CSL_CITATION { "citationItems" : [ { "id" : "ITEM-1", "itemData" : { "DOI" : "doi:10.1016/j.neuropsychologia.2014.08.012", "author" : [ { "dropping-particle" : "", "family" : "Baumeister", "given" : "R. F.", "non-dropping-particle" : "", "parse-names" : false, "suffix" : "" } ], "container-title" : "Neuropsychologia", "id" : "ITEM-1", "issued" : { "date-parts" : [ [ "2014" ] ] }, "page" : "313 - 319", "title" : "Self-regulation, ego depletion, and inhibition", "type" : "article-journal", "volume" : "65" }, "uris" : [ "http://www.mendeley.com/documents/?uuid=610549f9-b015-4848-9a49-9e7cb5f00f0d" ] }, { "id" : "ITEM-2", "itemData" : { "author" : [ { "dropping-particle" : "", "family" : "Baumeister", "given" : "R. F.", "non-dropping-particle" : "", "parse-names" : false, "suffix" : "" }, { "dropping-particle" : "", "family" : "Bratslavsky", "given" : "E.", "non-dropping-particle" : "", "parse-names" : false, "suffix" : "" }, { "dropping-particle" : "", "family" : "Muraven", "given" : "M.", "non-dropping-particle" : "", "parse-names" : false, "suffix" : "" }, { "dropping-particle" : "", "family" : "Tice", "given" : "D. M.", "non-dropping-particle" : "", "parse-names" : false, "suffix" : "" } ], "container-title" : "Journal of Personality and Social Psychology", "id" : "ITEM-2", "issue" : "5", "issued" : { "date-parts" : [ [ "1998" ] ] }, "page" : "1252 - 1265", "title" : "Ego depletion: Is the active self a limited resource?", "type" : "article-journal", "volume" : "74" }, "uris" : [ "http://www.mendeley.com/documents/?uuid=7af845c3-ed7e-4ae7-8e6b-296c2aaf795a" ] } ], "mendeley" : { "formattedCitation" : "(Baumeister, Bratslavsky, Muraven, &amp; Tice, 1998; Baumeister, 2014)", "plainTextFormattedCitation" : "(Baumeister, Bratslavsky, Muraven, &amp; Tice, 1998; Baumeister, 2014)", "previouslyFormattedCitation" : "(Baumeister, Bratslavsky, Muraven, &amp; Tice, 1998; Baumeister, 2014)" }, "properties" : { "noteIndex" : 0 }, "schema" : "https://github.com/citation-style-language/schema/raw/master/csl-citation.json" }</w:instrText>
      </w:r>
      <w:r w:rsidR="00FB76AD" w:rsidRPr="007A77EF">
        <w:rPr>
          <w:color w:val="auto"/>
          <w:lang w:val="en-GB"/>
        </w:rPr>
        <w:fldChar w:fldCharType="separate"/>
      </w:r>
      <w:r w:rsidR="00FB76AD" w:rsidRPr="007A77EF">
        <w:rPr>
          <w:noProof/>
          <w:color w:val="auto"/>
          <w:lang w:val="en-GB"/>
        </w:rPr>
        <w:t>(Baumeister, Bratslavsky, Muraven, &amp; Tice, 1998; Baumeister, 2014)</w:t>
      </w:r>
      <w:r w:rsidR="00FB76AD" w:rsidRPr="007A77EF">
        <w:rPr>
          <w:color w:val="auto"/>
          <w:lang w:val="en-GB"/>
        </w:rPr>
        <w:fldChar w:fldCharType="end"/>
      </w:r>
      <w:r w:rsidR="000F4CFA" w:rsidRPr="007A77EF">
        <w:rPr>
          <w:color w:val="auto"/>
          <w:lang w:val="en-GB"/>
        </w:rPr>
        <w:t xml:space="preserve">. However, </w:t>
      </w:r>
      <w:r w:rsidR="00553084" w:rsidRPr="007A77EF">
        <w:rPr>
          <w:color w:val="auto"/>
          <w:lang w:val="en-GB"/>
        </w:rPr>
        <w:t xml:space="preserve">this </w:t>
      </w:r>
      <w:r w:rsidR="00681910" w:rsidRPr="007A77EF">
        <w:rPr>
          <w:color w:val="auto"/>
          <w:lang w:val="en-GB"/>
        </w:rPr>
        <w:t>interpret</w:t>
      </w:r>
      <w:r w:rsidR="00553084" w:rsidRPr="007A77EF">
        <w:rPr>
          <w:color w:val="auto"/>
          <w:lang w:val="en-GB"/>
        </w:rPr>
        <w:t>ation</w:t>
      </w:r>
      <w:r w:rsidR="00681910" w:rsidRPr="007A77EF">
        <w:rPr>
          <w:color w:val="auto"/>
          <w:lang w:val="en-GB"/>
        </w:rPr>
        <w:t xml:space="preserve"> is problematic because a</w:t>
      </w:r>
      <w:r w:rsidR="0032738B" w:rsidRPr="007A77EF">
        <w:rPr>
          <w:color w:val="auto"/>
          <w:lang w:val="en-GB"/>
        </w:rPr>
        <w:t xml:space="preserve">n attempt to actively </w:t>
      </w:r>
      <w:r w:rsidR="00553084" w:rsidRPr="007A77EF">
        <w:rPr>
          <w:color w:val="auto"/>
          <w:lang w:val="en-GB"/>
        </w:rPr>
        <w:t>suppress</w:t>
      </w:r>
      <w:r w:rsidR="000A30C7" w:rsidRPr="007A77EF">
        <w:rPr>
          <w:color w:val="auto"/>
          <w:lang w:val="en-GB"/>
        </w:rPr>
        <w:t xml:space="preserve"> </w:t>
      </w:r>
      <w:r w:rsidR="00553084" w:rsidRPr="007A77EF">
        <w:rPr>
          <w:color w:val="auto"/>
          <w:lang w:val="en-GB"/>
        </w:rPr>
        <w:t xml:space="preserve">an </w:t>
      </w:r>
      <w:r w:rsidR="000F4CFA" w:rsidRPr="007A77EF">
        <w:rPr>
          <w:color w:val="auto"/>
          <w:lang w:val="en-GB"/>
        </w:rPr>
        <w:t>emotional response</w:t>
      </w:r>
      <w:r w:rsidR="000A30C7" w:rsidRPr="007A77EF">
        <w:rPr>
          <w:color w:val="auto"/>
          <w:lang w:val="en-GB"/>
        </w:rPr>
        <w:t xml:space="preserve">s </w:t>
      </w:r>
      <w:r w:rsidR="0032738B" w:rsidRPr="007A77EF">
        <w:rPr>
          <w:color w:val="auto"/>
          <w:lang w:val="en-GB"/>
        </w:rPr>
        <w:t>should</w:t>
      </w:r>
      <w:r w:rsidR="000F4CFA" w:rsidRPr="007A77EF">
        <w:rPr>
          <w:color w:val="auto"/>
          <w:lang w:val="en-GB"/>
        </w:rPr>
        <w:t xml:space="preserve"> lead to an increase in HbO in the rPFC</w:t>
      </w:r>
      <w:r w:rsidR="00681910" w:rsidRPr="007A77EF">
        <w:rPr>
          <w:color w:val="auto"/>
          <w:lang w:val="en-GB"/>
        </w:rPr>
        <w:t xml:space="preserve"> as this </w:t>
      </w:r>
      <w:r w:rsidR="00553084" w:rsidRPr="007A77EF">
        <w:rPr>
          <w:color w:val="auto"/>
          <w:lang w:val="en-GB"/>
        </w:rPr>
        <w:t xml:space="preserve">self-regulatory </w:t>
      </w:r>
      <w:r w:rsidR="00681910" w:rsidRPr="007A77EF">
        <w:rPr>
          <w:color w:val="auto"/>
          <w:lang w:val="en-GB"/>
        </w:rPr>
        <w:t xml:space="preserve">process </w:t>
      </w:r>
      <w:r w:rsidR="00553084" w:rsidRPr="007A77EF">
        <w:rPr>
          <w:color w:val="auto"/>
          <w:lang w:val="en-GB"/>
        </w:rPr>
        <w:t xml:space="preserve">is known to require </w:t>
      </w:r>
      <w:r w:rsidR="00681910" w:rsidRPr="007A77EF">
        <w:rPr>
          <w:color w:val="auto"/>
          <w:lang w:val="en-GB"/>
        </w:rPr>
        <w:t>cognitive</w:t>
      </w:r>
      <w:r w:rsidR="006A000C" w:rsidRPr="007A77EF">
        <w:rPr>
          <w:color w:val="auto"/>
          <w:lang w:val="en-GB"/>
        </w:rPr>
        <w:t xml:space="preserve"> effort </w:t>
      </w:r>
      <w:r w:rsidR="00FB76AD" w:rsidRPr="007A77EF">
        <w:rPr>
          <w:color w:val="auto"/>
          <w:lang w:val="en-GB"/>
        </w:rPr>
        <w:fldChar w:fldCharType="begin" w:fldLock="1"/>
      </w:r>
      <w:r w:rsidR="00305606" w:rsidRPr="007A77EF">
        <w:rPr>
          <w:color w:val="auto"/>
          <w:lang w:val="en-GB"/>
        </w:rPr>
        <w:instrText>ADDIN CSL_CITATION { "citationItems" : [ { "id" : "ITEM-1", "itemData" : { "DOI" : "10.1016/j.biopsych.2007.05.031", "ISSN" : "1873-2402", "PMID" : "17888411", "abstract" : "BACKGROUND: Emotion regulation strategies are thought to differ in when and how they influence the emotion-generative process. However, no study to date has directly probed the neural bases of two contrasting (e.g., cognitive versus behavioral) emotion regulation strategies. This study used functional magnetic resonance imaging (fMRI) to examine cognitive reappraisal (a cognitive strategy thought to have its impact early in the emotion-generative process) and expressive suppression (a behavioral strategy thought to have its impact later in the emotion-generative process).\n\nMETHODS: Seventeen women viewed 15 sec neutral and negative emotion-eliciting films under four conditions--watch-neutral, watch-negative, reappraise-negative, and suppress-negative--while providing emotion experience ratings and having their facial expressions videotaped.\n\nRESULTS: Reappraisal resulted in early (0-4.5 sec) prefrontal cortex (PFC) responses, decreased negative emotion experience, and decreased amygdala and insular responses. Suppression produced late (10.5-15 sec) PFC responses, decreased negative emotion behavior and experience, but increased amygdala and insular responses.\n\nCONCLUSIONS: These findings demonstrate the differential efficacy of reappraisal and suppression on emotional experience, facial behavior, and neural response and highlight intriguing differences in the temporal dynamics of these two emotion regulation strategies.", "author" : [ { "dropping-particle" : "", "family" : "Goldin", "given" : "Philippe R", "non-dropping-particle" : "", "parse-names" : false, "suffix" : "" }, { "dropping-particle" : "", "family" : "McRae", "given" : "Kateri", "non-dropping-particle" : "", "parse-names" : false, "suffix" : "" }, { "dropping-particle" : "", "family" : "Ramel", "given" : "Wiveka", "non-dropping-particle" : "", "parse-names" : false, "suffix" : "" }, { "dropping-particle" : "", "family" : "Gross", "given" : "James J", "non-dropping-particle" : "", "parse-names" : false, "suffix" : "" } ], "container-title" : "Biological psychiatry", "id" : "ITEM-1", "issue" : "6", "issued" : { "date-parts" : [ [ "2008", "3", "15" ] ] }, "page" : "577-86", "title" : "The neural bases of emotion regulation: reappraisal and suppression of negative emotion.", "type" : "article-journal", "volume" : "63" }, "uris" : [ "http://www.mendeley.com/documents/?uuid=ea4cdfe1-d906-4dc6-b6af-683fa8f77be2" ] } ], "mendeley" : { "formattedCitation" : "(Goldin, McRae, Ramel, &amp; Gross, 2008)", "plainTextFormattedCitation" : "(Goldin, McRae, Ramel, &amp; Gross, 2008)", "previouslyFormattedCitation" : "(Goldin, McRae, Ramel, &amp; Gross, 2008)" }, "properties" : { "noteIndex" : 0 }, "schema" : "https://github.com/citation-style-language/schema/raw/master/csl-citation.json" }</w:instrText>
      </w:r>
      <w:r w:rsidR="00FB76AD" w:rsidRPr="007A77EF">
        <w:rPr>
          <w:color w:val="auto"/>
          <w:lang w:val="en-GB"/>
        </w:rPr>
        <w:fldChar w:fldCharType="separate"/>
      </w:r>
      <w:r w:rsidR="00FB76AD" w:rsidRPr="007A77EF">
        <w:rPr>
          <w:noProof/>
          <w:color w:val="auto"/>
          <w:lang w:val="en-GB"/>
        </w:rPr>
        <w:t>(Goldin, McRae, Ramel, &amp; Gross, 2008)</w:t>
      </w:r>
      <w:r w:rsidR="00FB76AD" w:rsidRPr="007A77EF">
        <w:rPr>
          <w:color w:val="auto"/>
          <w:lang w:val="en-GB"/>
        </w:rPr>
        <w:fldChar w:fldCharType="end"/>
      </w:r>
      <w:r w:rsidR="000F4CFA" w:rsidRPr="007A77EF">
        <w:rPr>
          <w:color w:val="auto"/>
          <w:lang w:val="en-GB"/>
        </w:rPr>
        <w:t>.</w:t>
      </w:r>
      <w:r w:rsidR="00681910" w:rsidRPr="007A77EF">
        <w:rPr>
          <w:color w:val="auto"/>
          <w:lang w:val="en-GB"/>
        </w:rPr>
        <w:t xml:space="preserve"> </w:t>
      </w:r>
      <w:r w:rsidR="006D689A" w:rsidRPr="007A77EF">
        <w:rPr>
          <w:color w:val="auto"/>
          <w:lang w:val="en-GB"/>
        </w:rPr>
        <w:t xml:space="preserve"> </w:t>
      </w:r>
    </w:p>
    <w:p w14:paraId="1CC0B0F4" w14:textId="5204614A" w:rsidR="003B5088" w:rsidRPr="007A77EF" w:rsidRDefault="003B5088" w:rsidP="007B5793">
      <w:pPr>
        <w:pStyle w:val="BodyA"/>
        <w:spacing w:line="480" w:lineRule="auto"/>
        <w:ind w:firstLine="720"/>
        <w:rPr>
          <w:color w:val="auto"/>
          <w:lang w:val="en-GB"/>
        </w:rPr>
      </w:pPr>
      <w:r w:rsidRPr="007A77EF">
        <w:rPr>
          <w:color w:val="auto"/>
          <w:lang w:val="en-GB"/>
        </w:rPr>
        <w:t xml:space="preserve">There is currently no strong consensus in the literature regarding the optimal parameter of brain activation that can be derived from </w:t>
      </w:r>
      <w:r w:rsidR="00D42BF3" w:rsidRPr="007A77EF">
        <w:rPr>
          <w:color w:val="auto"/>
          <w:lang w:val="en-GB"/>
        </w:rPr>
        <w:t>fNIRS</w:t>
      </w:r>
      <w:r w:rsidRPr="007A77EF">
        <w:rPr>
          <w:color w:val="auto"/>
          <w:lang w:val="en-GB"/>
        </w:rPr>
        <w:t xml:space="preserve"> data </w:t>
      </w:r>
      <w:r w:rsidRPr="007A77EF">
        <w:rPr>
          <w:color w:val="auto"/>
          <w:lang w:val="en-GB"/>
        </w:rPr>
        <w:fldChar w:fldCharType="begin" w:fldLock="1"/>
      </w:r>
      <w:r w:rsidRPr="007A77EF">
        <w:rPr>
          <w:color w:val="auto"/>
          <w:lang w:val="en-GB"/>
        </w:rPr>
        <w:instrText>ADDIN CSL_CITATION { "citationItems" : [ { "id" : "ITEM-1", "itemData" : { "DOI" : "10.1016/j.neuroimage.2013.05.004", "ISSN" : "1095-9572", "PMID" : "23684868", "abstract" : "This year marks the 20th anniversary of functional near-infrared spectroscopy and imaging (fNIRS/fNIRI). As the vast majority of commercial instruments developed until now are based on continuous wave technology, the aim of this publication is to review the current state of instrumentation and methodology of continuous wave fNIRI. For this purpose we provide an overview of the commercially available instruments and address instrumental aspects such as light sources, detectors and sensor arrangements. Methodological aspects, algorithms to calculate the concentrations of oxy- and deoxyhemoglobin and approaches for data analysis are also reviewed. From the single-location measurements of the early years, instrumentation has progressed to imaging initially in two dimensions (topography) and then three (tomography). The methods of analysis have also changed tremendously, from the simple modified Beer-Lambert law to sophisticated image reconstruction and data analysis methods used today. Due to these advances, fNIRI has become a modality that is widely used in neuroscience research and several manufacturers provide commercial instrumentation. It seems likely that fNIRI will become a clinical tool in the foreseeable future, which will enable diagnosis in single subjects.", "author" : [ { "dropping-particle" : "", "family" : "Scholkmann", "given" : "Felix", "non-dropping-particle" : "", "parse-names" : false, "suffix" : "" }, { "dropping-particle" : "", "family" : "Kleiser", "given" : "Stefan", "non-dropping-particle" : "", "parse-names" : false, "suffix" : "" }, { "dropping-particle" : "", "family" : "Metz", "given" : "Andreas Jaakko", "non-dropping-particle" : "", "parse-names" : false, "suffix" : "" }, { "dropping-particle" : "", "family" : "Zimmermann", "given" : "Raphael", "non-dropping-particle" : "", "parse-names" : false, "suffix" : "" }, { "dropping-particle" : "", "family" : "Mata Pavia", "given" : "Juan", "non-dropping-particle" : "", "parse-names" : false, "suffix" : "" }, { "dropping-particle" : "", "family" : "Wolf", "given" : "Ursula", "non-dropping-particle" : "", "parse-names" : false, "suffix" : "" }, { "dropping-particle" : "", "family" : "Wolf", "given" : "Martin", "non-dropping-particle" : "", "parse-names" : false, "suffix" : "" } ], "container-title" : "NeuroImage", "id" : "ITEM-1", "issued" : { "date-parts" : [ [ "2014", "1", "15" ] ] }, "page" : "6-27", "publisher" : "Elsevier Inc.", "title" : "A review on continuous wave functional near-infrared spectroscopy and imaging instrumentation and methodology.", "type" : "article-journal", "volume" : "85 Pt 1" }, "uris" : [ "http://www.mendeley.com/documents/?uuid=3af20207-cde6-4a1c-a4df-976c7bb6cd87" ] } ], "mendeley" : { "formattedCitation" : "(Scholkmann et al., 2014)", "plainTextFormattedCitation" : "(Scholkmann et al., 2014)", "previouslyFormattedCitation" : "(Scholkmann et al., 2014)"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(Scholkmann et al., 2014)</w:t>
      </w:r>
      <w:r w:rsidRPr="007A77EF">
        <w:rPr>
          <w:color w:val="auto"/>
          <w:lang w:val="en-GB"/>
        </w:rPr>
        <w:fldChar w:fldCharType="end"/>
      </w:r>
      <w:r w:rsidRPr="007A77EF">
        <w:rPr>
          <w:color w:val="auto"/>
          <w:lang w:val="en-GB"/>
        </w:rPr>
        <w:t xml:space="preserve">. Research investigating emotional processes using </w:t>
      </w:r>
      <w:r w:rsidR="00D42BF3" w:rsidRPr="007A77EF">
        <w:rPr>
          <w:color w:val="auto"/>
          <w:lang w:val="en-GB"/>
        </w:rPr>
        <w:t>fNIRS</w:t>
      </w:r>
      <w:r w:rsidRPr="007A77EF">
        <w:rPr>
          <w:color w:val="auto"/>
          <w:lang w:val="en-GB"/>
        </w:rPr>
        <w:t xml:space="preserve"> has reported significant changes in the PFC for HbO alone (Leon-Carrion et al., 2006), for HHb alone </w:t>
      </w:r>
      <w:r w:rsidRPr="007A77EF">
        <w:rPr>
          <w:color w:val="auto"/>
          <w:lang w:val="en-GB"/>
        </w:rPr>
        <w:fldChar w:fldCharType="begin" w:fldLock="1"/>
      </w:r>
      <w:r w:rsidRPr="007A77EF">
        <w:rPr>
          <w:color w:val="auto"/>
          <w:lang w:val="en-GB"/>
        </w:rPr>
        <w:instrText>ADDIN CSL_CITATION { "citationItems" : [ { "id" : "ITEM-1", "itemData" : { "DOI" : "10.1016/j.biopsycho.2012.08.004", "ISSN" : "0301-0511", "author" : [ { "dropping-particle" : "", "family" : "Ernst", "given" : "Lena H", "non-dropping-particle" : "", "parse-names" : false, "suffix" : "" }, { "dropping-particle" : "", "family" : "Weidner", "given" : "Anne", "non-dropping-particle" : "", "parse-names" : false, "suffix" : "" }, { "dropping-particle" : "", "family" : "Ehlis", "given" : "Ann-christine", "non-dropping-particle" : "", "parse-names" : false, "suffix" : "" }, { "dropping-particle" : "", "family" : "Fallgatter", "given" : "Andreas J", "non-dropping-particle" : "", "parse-names" : false, "suffix" : "" } ], "container-title" : "Biological Psychology", "id" : "ITEM-1", "issue" : "2", "issued" : { "date-parts" : [ [ "2012" ] ] }, "page" : "312-320", "publisher" : "Elsevier B.V.", "title" : "Controlled attention allocation mediates the relation between goal-oriented pursuit and approach \u2013 avoidance reactions to negative stimuli.", "type" : "article-journal", "volume" : "91" }, "uris" : [ "http://www.mendeley.com/documents/?uuid=b822f7e1-3350-4201-adc5-7a9810c43027" ] } ], "mendeley" : { "formattedCitation" : "(Ernst, Weidner, Ehlis, &amp; Fallgatter, 2012)", "plainTextFormattedCitation" : "(Ernst, Weidner, Ehlis, &amp; Fallgatter, 2012)", "previouslyFormattedCitation" : "(Ernst, Weidner, Ehlis, &amp; Fallgatter, 2012)"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(Ernst, Weidner, Ehlis, &amp; Fallgatter, 2012)</w:t>
      </w:r>
      <w:r w:rsidRPr="007A77EF">
        <w:rPr>
          <w:color w:val="auto"/>
          <w:lang w:val="en-GB"/>
        </w:rPr>
        <w:fldChar w:fldCharType="end"/>
      </w:r>
      <w:r w:rsidRPr="007A77EF">
        <w:rPr>
          <w:color w:val="auto"/>
          <w:lang w:val="en-GB"/>
        </w:rPr>
        <w:t xml:space="preserve"> or for both HbO and HHb </w:t>
      </w:r>
      <w:r w:rsidRPr="007A77EF">
        <w:rPr>
          <w:color w:val="auto"/>
          <w:lang w:val="en-GB"/>
        </w:rPr>
        <w:fldChar w:fldCharType="begin" w:fldLock="1"/>
      </w:r>
      <w:r w:rsidRPr="007A77EF">
        <w:rPr>
          <w:color w:val="auto"/>
          <w:lang w:val="en-GB"/>
        </w:rPr>
        <w:instrText>ADDIN CSL_CITATION { "citationItems" : [ { "id" : "ITEM-1", "itemData" : { "author" : [ { "dropping-particle" : "", "family" : "Glotzbach", "given" : "E", "non-dropping-particle" : "", "parse-names" : false, "suffix" : "" }, { "dropping-particle" : "", "family" : "Muehlberger", "given" : "A", "non-dropping-particle" : "", "parse-names" : false, "suffix" : "" }, { "dropping-particle" : "", "family" : "Gschwendtner", "given" : "K", "non-dropping-particle" : "", "parse-names" : false, "suffix" : "" }, { "dropping-particle" : "", "family" : "Fallgatter", "given" : "A J", "non-dropping-particle" : "", "parse-names" : false, "suffix" : "" }, { "dropping-particle" : "", "family" : "Pauli", "given" : "P", "non-dropping-particle" : "", "parse-names" : false, "suffix" : "" }, { "dropping-particle" : "", "family" : "Herrmann", "given" : "M J", "non-dropping-particle" : "", "parse-names" : false, "suffix" : "" } ], "container-title" : "The Open Neuroimaging Journal", "id" : "ITEM-1", "issued" : { "date-parts" : [ [ "2010" ] ] }, "page" : "33-39", "title" : "Prefrontal Brain Activation During Emotional Processing: A Functional Near Infrared Spectroscopy Study (fNIRS).", "type" : "article-journal", "volume" : "5" }, "uris" : [ "http://www.mendeley.com/documents/?uuid=0ee50605-16eb-48ba-98d1-fc2444e282fd" ] } ], "mendeley" : { "formattedCitation" : "(Glotzbach et al., 2010)", "plainTextFormattedCitation" : "(Glotzbach et al., 2010)", "previouslyFormattedCitation" : "(Glotzbach et al., 2010)"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(Glotzbach et al., 2010)</w:t>
      </w:r>
      <w:r w:rsidRPr="007A77EF">
        <w:rPr>
          <w:color w:val="auto"/>
          <w:lang w:val="en-GB"/>
        </w:rPr>
        <w:fldChar w:fldCharType="end"/>
      </w:r>
      <w:r w:rsidRPr="007A77EF">
        <w:rPr>
          <w:color w:val="auto"/>
          <w:lang w:val="en-GB"/>
        </w:rPr>
        <w:t xml:space="preserve">. It has been argued that HHb is sensitive to local haemodynamic changes, less prone to influences from psychophysiological noise, such as breathing or heart rate and has a close association with the blood oxygenation dependent (BOLD) signal obtained from fMRI </w:t>
      </w:r>
      <w:r w:rsidRPr="007A77EF">
        <w:rPr>
          <w:color w:val="auto"/>
          <w:lang w:val="en-GB"/>
        </w:rPr>
        <w:fldChar w:fldCharType="begin" w:fldLock="1"/>
      </w:r>
      <w:r w:rsidRPr="007A77EF">
        <w:rPr>
          <w:color w:val="auto"/>
          <w:lang w:val="en-GB"/>
        </w:rPr>
        <w:instrText>ADDIN CSL_CITATION { "citationItems" : [ { "id" : "ITEM-1", "itemData" : { "DOI" : "10.1016/j.cortex.2011.09.013", "ISSN" : "1973-8102", "PMID" : "22036575", "abstract" : "INTRODUCTION: The present pilot study investigated cortical processes during automatic and regulated approach-avoidance reactions for the first time. METHODS 1: In 15 healthy volunteers, prefrontal activity was measured with functional near-infrared spectroscopy (fNIRS) during performance of a joystick version of the Approach-Avoidance Task (AAT). In experiment 1, participants approached (pulled towards their body) and avoided (pushed away from their body) positive and negative pictures. RESULTS 1: Incompatible, regulated reactions (avoid positive, approach negative) compared to compatible, automatic reactions (approach positive, avoid negative) caused stronger activation in terms of a decrease of deoxygenated haemoglobin (HHb) in right dorsolateral prefrontal cortex (DLPFC) (i.e., in one of the main instances for behavioural control in humans). METHODS 2: In the context of pathologically enhanced approach tendencies in addiction disorders and of planned future studies, we presented alcohol and non-alcohol pictures in experiment 2. RESULTS 2: Here, left anterior lateral orbitofrontal cortex as part of the general reward system processing secondary rewards showed stronger activation in terms of increased oxygenated haemoglobin (O(2)Hb) during approaching compared to avoiding alcohol pictures. This difference was positively correlated with participants' expectation about beneficial effects of alcohol in terms of emotional regulation.\n\nDISCUSSION: Despite some limitations due to the pilot character of the study, our results suggest that further combinations of the AAT and functional imaging methods will reveal detailed insight into neuronal mechanisms constituting approach-avoidance as basic behavioural principles and into specifically altered sub-processes in alcohol dependence.", "author" : [ { "dropping-particle" : "", "family" : "Ernst", "given" : "Lena H", "non-dropping-particle" : "", "parse-names" : false, "suffix" : "" }, { "dropping-particle" : "", "family" : "Plichta", "given" : "Michael M", "non-dropping-particle" : "", "parse-names" : false, "suffix" : "" }, { "dropping-particle" : "", "family" : "Lutz", "given" : "Elisabeth", "non-dropping-particle" : "", "parse-names" : false, "suffix" : "" }, { "dropping-particle" : "", "family" : "Zesewitz", "given" : "Anna K", "non-dropping-particle" : "", "parse-names" : false, "suffix" : "" }, { "dropping-particle" : "V", "family" : "Tupak", "given" : "Sara", "non-dropping-particle" : "", "parse-names" : false, "suffix" : "" }, { "dropping-particle" : "", "family" : "Dresler", "given" : "Thomas", "non-dropping-particle" : "", "parse-names" : false, "suffix" : "" }, { "dropping-particle" : "", "family" : "Ehlis", "given" : "Ann-Christine", "non-dropping-particle" : "", "parse-names" : false, "suffix" : "" }, { "dropping-particle" : "", "family" : "Fallgatter", "given" : "Andreas J", "non-dropping-particle" : "", "parse-names" : false, "suffix" : "" } ], "container-title" : "Cortex; a journal devoted to the study of the nervous system and behavior", "id" : "ITEM-1", "issue" : "1", "issued" : { "date-parts" : [ [ "2013", "1" ] ] }, "page" : "131-42", "publisher" : "Elsevier Srl", "title" : "Prefrontal activation patterns of automatic and regulated approach-avoidance reactions - a functional near-infrared spectroscopy (fNIRS) study.", "type" : "article-journal", "volume" : "49" }, "uris" : [ "http://www.mendeley.com/documents/?uuid=0db9c369-669b-4305-8629-92c93c1a7cd9" ] }, { "id" : "ITEM-2", "itemData" : { "ISSN" : "0739-5175", "PMID" : "17672230", "author" : [ { "dropping-particle" : "", "family" : "Izzetoglu", "given" : "Meltem", "non-dropping-particle" : "", "parse-names" : false, "suffix" : "" }, { "dropping-particle" : "", "family" : "Bunce", "given" : "Scott C", "non-dropping-particle" : "", "parse-names" : false, "suffix" : "" }, { "dropping-particle" : "", "family" : "Izzetoglu", "given" : "Kurtulus", "non-dropping-particle" : "", "parse-names" : false, "suffix" : "" }, { "dropping-particle" : "", "family" : "Onaral", "given" : "Banu", "non-dropping-particle" : "", "parse-names" : false, "suffix" : "" }, { "dropping-particle" : "", "family" : "Pourrezaei", "given" : "Kambiz", "non-dropping-particle" : "", "parse-names" : false, "suffix" : "" } ], "container-title" : "IEEE engineering in medicine and biology magazine : the quarterly magazine of the Engineering in Medicine &amp; Biology Society", "id" : "ITEM-2", "issue" : "4", "issued" : { "date-parts" : [ [ "2007" ] ] }, "page" : "38-46", "title" : "Functional brain imaging using near-infrared technology.", "type" : "article-journal", "volume" : "26" }, "uris" : [ "http://www.mendeley.com/documents/?uuid=a27524e4-6b8c-4a64-a5b5-06d30247f4ca" ] }, { "id" : "ITEM-3", "itemData" : { "DOI" : "10.1016/j.neuroimage.2005.12.008", "ISSN" : "1053-8119", "PMID" : "16446104", "abstract" : "The purpose of the present study was to investigate the retest reliability of event-related functional near-infrared spectroscopy (fNIRS). Therefore, isolated functional activation was evoked in the occipital cortex by a periodic checkerboard stimulation. During a 52-channel fNIRS recording, 12 subjects underwent 60 trials of visual stimulation in two sessions. The retest interval was set to 3 weeks. Linear correlations of the contrast t values supplemented by scatter plots, channel-wise intraclass correlation coefficients (ICC) as well as reproducibility indices for the quantity of activated channels (RQUANTITY) and the location (ROVERLAP) of the detected activation were calculated. The results at the group level showed good reliability in terms of the single measure ICCs (up to 0.84) and excellent reproducibility quantified by RQUANTITY and ROVERLAP (up to 96% of the quantity and the location were reproducible), whereas the results at the single subjects' level were mediocre. Furthermore, the reliability assessed by single measurement ICCs improved if regarded at a cluster level.", "author" : [ { "dropping-particle" : "", "family" : "Plichta", "given" : "M M", "non-dropping-particle" : "", "parse-names" : false, "suffix" : "" }, { "dropping-particle" : "", "family" : "Herrmann", "given" : "M J", "non-dropping-particle" : "", "parse-names" : false, "suffix" : "" }, { "dropping-particle" : "", "family" : "Baehne", "given" : "C G", "non-dropping-particle" : "", "parse-names" : false, "suffix" : "" }, { "dropping-particle" : "", "family" : "Ehlis", "given" : "A-C", "non-dropping-particle" : "", "parse-names" : false, "suffix" : "" }, { "dropping-particle" : "", "family" : "Richter", "given" : "M M", "non-dropping-particle" : "", "parse-names" : false, "suffix" : "" }, { "dropping-particle" : "", "family" : "Pauli", "given" : "P", "non-dropping-particle" : "", "parse-names" : false, "suffix" : "" }, { "dropping-particle" : "", "family" : "Fallgatter", "given" : "A J", "non-dropping-particle" : "", "parse-names" : false, "suffix" : "" } ], "container-title" : "NeuroImage", "id" : "ITEM-3", "issue" : "1", "issued" : { "date-parts" : [ [ "2006", "5", "15" ] ] }, "page" : "116-24", "title" : "Event-related functional near-infrared spectroscopy (fNIRS): are the measurements reliable?", "type" : "article-journal", "volume" : "31" }, "uris" : [ "http://www.mendeley.com/documents/?uuid=101c29d5-7450-4502-b1d2-7af32e0abdbb" ] } ], "mendeley" : { "formattedCitation" : "(Ernst et al., 2013; Izzetoglu, Bunce, Izzetoglu, Onaral, &amp; Pourrezaei, 2007; Plichta et al., 2006)", "plainTextFormattedCitation" : "(Ernst et al., 2013; Izzetoglu, Bunce, Izzetoglu, Onaral, &amp; Pourrezaei, 2007; Plichta et al., 2006)", "previouslyFormattedCitation" : "(Ernst et al., 2013; Izzetoglu, Bunce, Izzetoglu, Onaral, &amp; Pourrezaei, 2007; Plichta et al., 2006)"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 xml:space="preserve">(Ernst et al., 2013; </w:t>
      </w:r>
      <w:r w:rsidRPr="007A77EF">
        <w:rPr>
          <w:noProof/>
          <w:color w:val="auto"/>
          <w:lang w:val="en-GB"/>
        </w:rPr>
        <w:lastRenderedPageBreak/>
        <w:t>Izzetoglu, Bunce, Izzetoglu, Onaral, &amp; Pourrezaei, 2007; Plichta et al., 2006)</w:t>
      </w:r>
      <w:r w:rsidRPr="007A77EF">
        <w:rPr>
          <w:color w:val="auto"/>
          <w:lang w:val="en-GB"/>
        </w:rPr>
        <w:fldChar w:fldCharType="end"/>
      </w:r>
      <w:r w:rsidRPr="007A77EF">
        <w:rPr>
          <w:color w:val="auto"/>
          <w:lang w:val="en-GB"/>
        </w:rPr>
        <w:t xml:space="preserve">. However, HbO is the parameter which is less sensitive to variation in probe placement due to head size and shape because HbO activation is more global compared to HHb activation </w:t>
      </w:r>
      <w:r w:rsidRPr="007A77EF">
        <w:rPr>
          <w:color w:val="auto"/>
          <w:lang w:val="en-GB"/>
        </w:rPr>
        <w:fldChar w:fldCharType="begin" w:fldLock="1"/>
      </w:r>
      <w:r w:rsidRPr="007A77EF">
        <w:rPr>
          <w:color w:val="auto"/>
          <w:lang w:val="en-GB"/>
        </w:rPr>
        <w:instrText>ADDIN CSL_CITATION { "citationItems" : [ { "id" : "ITEM-1", "itemData" : { "DOI" : "10.1016/S0074-7742(05)66008-4", "ISSN" : "0074-7742", "PMID" : "16387206", "author" : [ { "dropping-particle" : "", "family" : "Hoshi", "given" : "Yoko", "non-dropping-particle" : "", "parse-names" : false, "suffix" : "" } ], "container-title" : "International review of neurobiology", "id" : "ITEM-1", "issue" : "05", "issued" : { "date-parts" : [ [ "2005", "1" ] ] }, "page" : "237-66", "title" : "Functional near-infrared spectroscopy: potential and limitations in neuroimaging studies.", "type" : "article-journal", "volume" : "66" }, "uris" : [ "http://www.mendeley.com/documents/?uuid=0b78d8e3-9ccf-4dc7-828c-0310b6965140" ] }, { "id" : "ITEM-2", "itemData" : { "DOI" : "10.1016/j.neuroimage.2005.12.008", "ISSN" : "1053-8119", "PMID" : "16446104", "abstract" : "The purpose of the present study was to investigate the retest reliability of event-related functional near-infrared spectroscopy (fNIRS). Therefore, isolated functional activation was evoked in the occipital cortex by a periodic checkerboard stimulation. During a 52-channel fNIRS recording, 12 subjects underwent 60 trials of visual stimulation in two sessions. The retest interval was set to 3 weeks. Linear correlations of the contrast t values supplemented by scatter plots, channel-wise intraclass correlation coefficients (ICC) as well as reproducibility indices for the quantity of activated channels (RQUANTITY) and the location (ROVERLAP) of the detected activation were calculated. The results at the group level showed good reliability in terms of the single measure ICCs (up to 0.84) and excellent reproducibility quantified by RQUANTITY and ROVERLAP (up to 96% of the quantity and the location were reproducible), whereas the results at the single subjects' level were mediocre. Furthermore, the reliability assessed by single measurement ICCs improved if regarded at a cluster level.", "author" : [ { "dropping-particle" : "", "family" : "Plichta", "given" : "M M", "non-dropping-particle" : "", "parse-names" : false, "suffix" : "" }, { "dropping-particle" : "", "family" : "Herrmann", "given" : "M J", "non-dropping-particle" : "", "parse-names" : false, "suffix" : "" }, { "dropping-particle" : "", "family" : "Baehne", "given" : "C G", "non-dropping-particle" : "", "parse-names" : false, "suffix" : "" }, { "dropping-particle" : "", "family" : "Ehlis", "given" : "A-C", "non-dropping-particle" : "", "parse-names" : false, "suffix" : "" }, { "dropping-particle" : "", "family" : "Richter", "given" : "M M", "non-dropping-particle" : "", "parse-names" : false, "suffix" : "" }, { "dropping-particle" : "", "family" : "Pauli", "given" : "P", "non-dropping-particle" : "", "parse-names" : false, "suffix" : "" }, { "dropping-particle" : "", "family" : "Fallgatter", "given" : "A J", "non-dropping-particle" : "", "parse-names" : false, "suffix" : "" } ], "container-title" : "NeuroImage", "id" : "ITEM-2", "issue" : "1", "issued" : { "date-parts" : [ [ "2006", "5", "15" ] ] }, "page" : "116-24", "title" : "Event-related functional near-infrared spectroscopy (fNIRS): are the measurements reliable?", "type" : "article-journal", "volume" : "31" }, "uris" : [ "http://www.mendeley.com/documents/?uuid=101c29d5-7450-4502-b1d2-7af32e0abdbb" ] }, { "id" : "ITEM-3", "itemData" : { "DOI" : "10.1016/j.neuroimage.2013.05.004", "ISSN" : "1095-9572", "PMID" : "23684868", "abstract" : "This year marks the 20th anniversary of functional near-infrared spectroscopy and imaging (fNIRS/fNIRI). As the vast majority of commercial instruments developed until now are based on continuous wave technology, the aim of this publication is to review the current state of instrumentation and methodology of continuous wave fNIRI. For this purpose we provide an overview of the commercially available instruments and address instrumental aspects such as light sources, detectors and sensor arrangements. Methodological aspects, algorithms to calculate the concentrations of oxy- and deoxyhemoglobin and approaches for data analysis are also reviewed. From the single-location measurements of the early years, instrumentation has progressed to imaging initially in two dimensions (topography) and then three (tomography). The methods of analysis have also changed tremendously, from the simple modified Beer-Lambert law to sophisticated image reconstruction and data analysis methods used today. Due to these advances, fNIRI has become a modality that is widely used in neuroscience research and several manufacturers provide commercial instrumentation. It seems likely that fNIRI will become a clinical tool in the foreseeable future, which will enable diagnosis in single subjects.", "author" : [ { "dropping-particle" : "", "family" : "Scholkmann", "given" : "Felix", "non-dropping-particle" : "", "parse-names" : false, "suffix" : "" }, { "dropping-particle" : "", "family" : "Kleiser", "given" : "Stefan", "non-dropping-particle" : "", "parse-names" : false, "suffix" : "" }, { "dropping-particle" : "", "family" : "Metz", "given" : "Andreas Jaakko", "non-dropping-particle" : "", "parse-names" : false, "suffix" : "" }, { "dropping-particle" : "", "family" : "Zimmermann", "given" : "Raphael", "non-dropping-particle" : "", "parse-names" : false, "suffix" : "" }, { "dropping-particle" : "", "family" : "Mata Pavia", "given" : "Juan", "non-dropping-particle" : "", "parse-names" : false, "suffix" : "" }, { "dropping-particle" : "", "family" : "Wolf", "given" : "Ursula", "non-dropping-particle" : "", "parse-names" : false, "suffix" : "" }, { "dropping-particle" : "", "family" : "Wolf", "given" : "Martin", "non-dropping-particle" : "", "parse-names" : false, "suffix" : "" } ], "container-title" : "NeuroImage", "id" : "ITEM-3", "issued" : { "date-parts" : [ [ "2014", "1", "15" ] ] }, "page" : "6-27", "publisher" : "Elsevier Inc.", "title" : "A review on continuous wave functional near-infrared spectroscopy and imaging instrumentation and methodology.", "type" : "article-journal", "volume" : "85 Pt 1" }, "uris" : [ "http://www.mendeley.com/documents/?uuid=3af20207-cde6-4a1c-a4df-976c7bb6cd87" ] }, { "id" : "ITEM-4", "itemData" : { "DOI" : "10.1006/nimg.2000.0706", "ISSN" : "1053-8119", "PMID" : "11170817", "abstract" : "We used near infrared spectroscopy (NIRS) to investigate the vascular and metabolic response to brain activation in human primary and adjacent secondary visual cortex. NIRS is able to measure concentration changes in deoxygenated hemoglobin ([deoxy-Hb]) (which mainly contribute to the blood oxygenation level-dependent (BOLD) signal in functional magnetic resonance imaging (fMRI)) as well as concentration changes of oxygenated hemoglobin ([oxy-Hb]) and corpuscular blood volume ([total-Hb] = [oxy-Hb] + [deoxy-Hb]) and changes in the redox status of the cytochrome c oxidase ([Cyt-Ox]), a putative parameter for cellular oxygenation. A sound understanding of the transfer functions between stimulus parameters, neuronal activity, and vascular/metabolic parameters is important for interpretation of data acquired with indirect neuroimaging techniques like fMRI, especially in event-related design studies. In the present study we tested whether the vascular/metabolic response to stimulation can be described as a linear and time invariant system. Since linearity is a property attributed to systems that satisfy the scaling and superposition properties, as a first simple test, superposition of the responses obtained from short duration visual stimuli was used to predict the responses of longer duration stimuli. Our results showed that the predictions of [deoxy-Hb] and [Cyt-Ox] responses to stimuli of 6- to 24-s duration were satisfactory whereas predictions of [oxy-Hb] and [total-Hb] were insufficient. In a second step, a calculated convolution function of an assumed impulse response function and the stimulus function was fitted with the measured [deoxy-Hb] and [Cyt-Ox] curves to obtain amplitude, time delay, and time constant parameters. We show that predictions of cellular and vascular oxygenation responses to visual stimulation are good for 6- to 24-s stimuli duration under the assumption of a linear transfer characteristic. This model is not valid for corpuscular volume changes which affect mainly the [oxy-Hb] response. Noninvasive NIRS is shown to be a suitable method to get more direct information about neuronal-activity-associated changes in cerebral parameters which are partly reflected in BOLD signal but are not fully understood yet.", "author" : [ { "dropping-particle" : "", "family" : "Wobst", "given" : "P", "non-dropping-particle" : "", "parse-names" : false, "suffix" : "" }, { "dropping-particle" : "", "family" : "Wenzel", "given" : "R", "non-dropping-particle" : "", "parse-names" : false, "suffix" : "" }, { "dropping-particle" : "", "family" : "Kohl", "given" : "M", "non-dropping-particle" : "", "parse-names" : false, "suffix" : "" }, { "dropping-particle" : "", "family" : "Obrig", "given" : "H", "non-dropping-particle" : "", "parse-names" : false, "suffix" : "" }, { "dropping-particle" : "", "family" : "Villringer", "given" : "a", "non-dropping-particle" : "", "parse-names" : false, "suffix" : "" } ], "container-title" : "NeuroImage", "id" : "ITEM-4", "issue" : "3", "issued" : { "date-parts" : [ [ "2001", "3" ] ] }, "page" : "520-30", "title" : "Linear aspects of changes in deoxygenated hemoglobin concentration and cytochrome oxidase oxidation during brain activation.", "type" : "article-journal", "volume" : "13" }, "uris" : [ "http://www.mendeley.com/documents/?uuid=d0ac203b-ec8d-495f-83dc-59577ee3fcfc" ] } ], "mendeley" : { "formattedCitation" : "(Hoshi, 2005; Plichta et al., 2006; Scholkmann et al., 2014; Wobst, Wenzel, Kohl, Obrig, &amp; Villringer, 2001)", "plainTextFormattedCitation" : "(Hoshi, 2005; Plichta et al., 2006; Scholkmann et al., 2014; Wobst, Wenzel, Kohl, Obrig, &amp; Villringer, 2001)", "previouslyFormattedCitation" : "(Hoshi, 2005; Plichta et al., 2006; Scholkmann et al., 2014; Wobst, Wenzel, Kohl, Obrig, &amp; Villringer, 2001)" }, "properties" : { "noteIndex" : 0 }, "schema" : "https://github.com/citation-style-language/schema/raw/master/csl-citation.json" }</w:instrText>
      </w:r>
      <w:r w:rsidRPr="007A77EF">
        <w:rPr>
          <w:color w:val="auto"/>
          <w:lang w:val="en-GB"/>
        </w:rPr>
        <w:fldChar w:fldCharType="separate"/>
      </w:r>
      <w:r w:rsidRPr="007A77EF">
        <w:rPr>
          <w:noProof/>
          <w:color w:val="auto"/>
          <w:lang w:val="en-GB"/>
        </w:rPr>
        <w:t>(Hoshi, 2005; Plichta et al., 2006; Scholkmann et al., 2014; Wobst, Wenzel, Kohl, Obrig, &amp; Villringer, 2001)</w:t>
      </w:r>
      <w:r w:rsidRPr="007A77EF">
        <w:rPr>
          <w:color w:val="auto"/>
          <w:lang w:val="en-GB"/>
        </w:rPr>
        <w:fldChar w:fldCharType="end"/>
      </w:r>
      <w:r w:rsidRPr="007A77EF">
        <w:rPr>
          <w:color w:val="auto"/>
          <w:lang w:val="en-GB"/>
        </w:rPr>
        <w:t>. The different characteristics of the HbO and HHb parameters accounts for a global activation pattern for HbO and more sensitivity to regional changes in HHb found in this study.</w:t>
      </w:r>
    </w:p>
    <w:p w14:paraId="47ACEA78" w14:textId="292E26B2" w:rsidR="0011345C" w:rsidRPr="007A77EF" w:rsidRDefault="003245CB" w:rsidP="00463ABB">
      <w:pPr>
        <w:pStyle w:val="BodyA"/>
        <w:spacing w:line="480" w:lineRule="auto"/>
        <w:rPr>
          <w:color w:val="auto"/>
          <w:lang w:val="en-GB"/>
        </w:rPr>
      </w:pPr>
      <w:r w:rsidRPr="007A77EF">
        <w:rPr>
          <w:color w:val="auto"/>
          <w:lang w:val="en-GB"/>
        </w:rPr>
        <w:tab/>
        <w:t>There were several</w:t>
      </w:r>
      <w:r w:rsidR="00CB2B4E" w:rsidRPr="007A77EF">
        <w:rPr>
          <w:color w:val="auto"/>
          <w:lang w:val="en-GB"/>
        </w:rPr>
        <w:t xml:space="preserve"> limitations associated with the current study. The absence of a neutral category of image (from the perspective of emotional valence) was </w:t>
      </w:r>
      <w:r w:rsidR="006D1ABE" w:rsidRPr="007A77EF">
        <w:rPr>
          <w:color w:val="auto"/>
          <w:lang w:val="en-GB"/>
        </w:rPr>
        <w:t xml:space="preserve">a </w:t>
      </w:r>
      <w:r w:rsidR="00CB2B4E" w:rsidRPr="007A77EF">
        <w:rPr>
          <w:color w:val="auto"/>
          <w:lang w:val="en-GB"/>
        </w:rPr>
        <w:t xml:space="preserve">major limitation as we could only compare the impact of positive images relative to negative ones. </w:t>
      </w:r>
      <w:r w:rsidR="004D129A" w:rsidRPr="007A77EF">
        <w:rPr>
          <w:color w:val="auto"/>
          <w:lang w:val="en-GB"/>
        </w:rPr>
        <w:t>All results are therefore differential effects</w:t>
      </w:r>
      <w:r w:rsidR="003B5088" w:rsidRPr="007A77EF">
        <w:rPr>
          <w:color w:val="auto"/>
          <w:lang w:val="en-GB"/>
        </w:rPr>
        <w:t xml:space="preserve"> between images with positive vs. negative valence</w:t>
      </w:r>
      <w:r w:rsidR="004D129A" w:rsidRPr="007A77EF">
        <w:rPr>
          <w:color w:val="auto"/>
          <w:lang w:val="en-GB"/>
        </w:rPr>
        <w:t xml:space="preserve">. </w:t>
      </w:r>
      <w:r w:rsidR="00CB2B4E" w:rsidRPr="007A77EF">
        <w:rPr>
          <w:color w:val="auto"/>
          <w:lang w:val="en-GB"/>
        </w:rPr>
        <w:t xml:space="preserve">Although a neutral category was included during pilot testing it became apparent that variability in the subjective ratings rendered this category of images unusable and it was excluded from the final </w:t>
      </w:r>
      <w:r w:rsidR="008F69B5" w:rsidRPr="007A77EF">
        <w:rPr>
          <w:color w:val="auto"/>
          <w:lang w:val="en-GB"/>
        </w:rPr>
        <w:t>protocol</w:t>
      </w:r>
      <w:r w:rsidR="00CB2B4E" w:rsidRPr="007A77EF">
        <w:rPr>
          <w:color w:val="auto"/>
          <w:lang w:val="en-GB"/>
        </w:rPr>
        <w:t xml:space="preserve">. It is possible to generate visual stimuli that do not provoke a positive or negative emotional response, e.g. black and white geometrical patterns. However, it is questionable whether this type of stimuli possesses the same degree of ecological validity as the genuine artworks used as stimuli in the current study.  </w:t>
      </w:r>
    </w:p>
    <w:p w14:paraId="4E8DF6CD" w14:textId="231EA191" w:rsidR="00C8548E" w:rsidRPr="007A77EF" w:rsidRDefault="00CB2B4E" w:rsidP="0011345C">
      <w:pPr>
        <w:pStyle w:val="BodyA"/>
        <w:spacing w:line="480" w:lineRule="auto"/>
        <w:ind w:firstLine="720"/>
        <w:rPr>
          <w:color w:val="auto"/>
          <w:lang w:val="en-GB"/>
        </w:rPr>
      </w:pPr>
      <w:r w:rsidRPr="007A77EF">
        <w:rPr>
          <w:color w:val="auto"/>
          <w:lang w:val="en-GB"/>
        </w:rPr>
        <w:t xml:space="preserve">The experimental design did not include measures that enabled us to test whether participants were able to perform the </w:t>
      </w:r>
      <w:r w:rsidRPr="007A77EF">
        <w:rPr>
          <w:i/>
          <w:color w:val="auto"/>
          <w:lang w:val="en-GB"/>
        </w:rPr>
        <w:t>self</w:t>
      </w:r>
      <w:r w:rsidRPr="007A77EF">
        <w:rPr>
          <w:color w:val="auto"/>
          <w:lang w:val="en-GB"/>
        </w:rPr>
        <w:t>/</w:t>
      </w:r>
      <w:r w:rsidRPr="007A77EF">
        <w:rPr>
          <w:i/>
          <w:color w:val="auto"/>
          <w:lang w:val="en-GB"/>
        </w:rPr>
        <w:t>other</w:t>
      </w:r>
      <w:r w:rsidRPr="007A77EF">
        <w:rPr>
          <w:color w:val="auto"/>
          <w:lang w:val="en-GB"/>
        </w:rPr>
        <w:t xml:space="preserve"> task and how individual differences may have influenced our results in this respect. Some participants may have been more engaged or more efficient with regard to emotional introspection despite the inclusion of a training phase.  The recruitment of individuals only excluded participation if the person possessed a qualification in art but did not control for individual difference with respect to prior exposure to artworks through gallery visits.  It may also be of interest to investigate the emotional interaction and the </w:t>
      </w:r>
      <w:r w:rsidRPr="007A77EF">
        <w:rPr>
          <w:iCs/>
          <w:color w:val="auto"/>
          <w:lang w:val="en-GB"/>
        </w:rPr>
        <w:t>self</w:t>
      </w:r>
      <w:r w:rsidRPr="007A77EF">
        <w:rPr>
          <w:color w:val="auto"/>
          <w:lang w:val="en-GB"/>
        </w:rPr>
        <w:t>/</w:t>
      </w:r>
      <w:r w:rsidRPr="007A77EF">
        <w:rPr>
          <w:iCs/>
          <w:color w:val="auto"/>
          <w:lang w:val="en-GB"/>
        </w:rPr>
        <w:t>other</w:t>
      </w:r>
      <w:r w:rsidRPr="007A77EF">
        <w:rPr>
          <w:color w:val="auto"/>
          <w:lang w:val="en-GB"/>
        </w:rPr>
        <w:t xml:space="preserve"> related processing in other participant groups such as art experts </w:t>
      </w:r>
      <w:r w:rsidRPr="007A77EF">
        <w:rPr>
          <w:color w:val="auto"/>
          <w:lang w:val="en-GB"/>
        </w:rPr>
        <w:lastRenderedPageBreak/>
        <w:t>compared to art na</w:t>
      </w:r>
      <w:r w:rsidRPr="007A77EF">
        <w:rPr>
          <w:rFonts w:hAnsi="Times New Roman"/>
          <w:color w:val="auto"/>
          <w:lang w:val="en-GB"/>
        </w:rPr>
        <w:t>ï</w:t>
      </w:r>
      <w:r w:rsidRPr="007A77EF">
        <w:rPr>
          <w:color w:val="auto"/>
          <w:lang w:val="en-GB"/>
        </w:rPr>
        <w:t xml:space="preserve">ve participants </w:t>
      </w:r>
      <w:r w:rsidR="008F69B5" w:rsidRPr="007A77EF">
        <w:rPr>
          <w:color w:val="auto"/>
          <w:lang w:val="en-GB"/>
        </w:rPr>
        <w:t xml:space="preserve">as </w:t>
      </w:r>
      <w:r w:rsidRPr="007A77EF">
        <w:rPr>
          <w:color w:val="auto"/>
          <w:lang w:val="en-GB"/>
        </w:rPr>
        <w:t xml:space="preserve">the latter may use more emotional and </w:t>
      </w:r>
      <w:r w:rsidRPr="007A77EF">
        <w:rPr>
          <w:iCs/>
          <w:color w:val="auto"/>
          <w:lang w:val="en-GB"/>
        </w:rPr>
        <w:t>self</w:t>
      </w:r>
      <w:r w:rsidRPr="007A77EF">
        <w:rPr>
          <w:color w:val="auto"/>
          <w:lang w:val="en-GB"/>
        </w:rPr>
        <w:t>-referential processing compared to the former (Leder et al</w:t>
      </w:r>
      <w:r w:rsidR="004C5C94" w:rsidRPr="007A77EF">
        <w:rPr>
          <w:color w:val="auto"/>
          <w:lang w:val="en-GB"/>
        </w:rPr>
        <w:t>.</w:t>
      </w:r>
      <w:r w:rsidRPr="007A77EF">
        <w:rPr>
          <w:color w:val="auto"/>
          <w:lang w:val="en-GB"/>
        </w:rPr>
        <w:t xml:space="preserve">, 2004).  </w:t>
      </w:r>
    </w:p>
    <w:p w14:paraId="77A9700A" w14:textId="4D74D7F9" w:rsidR="004D1CCC" w:rsidRPr="007A77EF" w:rsidRDefault="00CB2B4E" w:rsidP="00463ABB">
      <w:pPr>
        <w:pStyle w:val="BodyA"/>
        <w:spacing w:line="480" w:lineRule="auto"/>
        <w:rPr>
          <w:color w:val="auto"/>
          <w:lang w:val="en-GB"/>
        </w:rPr>
      </w:pPr>
      <w:r w:rsidRPr="007A77EF">
        <w:rPr>
          <w:color w:val="auto"/>
          <w:lang w:val="en-GB"/>
        </w:rPr>
        <w:tab/>
        <w:t xml:space="preserve">To summarise, this study </w:t>
      </w:r>
      <w:r w:rsidR="004D1CCC" w:rsidRPr="007A77EF">
        <w:rPr>
          <w:color w:val="auto"/>
          <w:lang w:val="en-GB"/>
        </w:rPr>
        <w:t>provided evidence of bilateral activation</w:t>
      </w:r>
      <w:r w:rsidR="0011345C" w:rsidRPr="007A77EF">
        <w:rPr>
          <w:color w:val="auto"/>
          <w:lang w:val="en-GB"/>
        </w:rPr>
        <w:t xml:space="preserve"> (</w:t>
      </w:r>
      <w:r w:rsidR="004D129A" w:rsidRPr="007A77EF">
        <w:rPr>
          <w:color w:val="auto"/>
          <w:lang w:val="en-GB"/>
        </w:rPr>
        <w:t>greater</w:t>
      </w:r>
      <w:r w:rsidR="0011345C" w:rsidRPr="007A77EF">
        <w:rPr>
          <w:color w:val="auto"/>
          <w:lang w:val="en-GB"/>
        </w:rPr>
        <w:t xml:space="preserve"> HbO)</w:t>
      </w:r>
      <w:r w:rsidR="004D1CCC" w:rsidRPr="007A77EF">
        <w:rPr>
          <w:color w:val="auto"/>
          <w:lang w:val="en-GB"/>
        </w:rPr>
        <w:t xml:space="preserve"> of the rPFC when visual art was viewed from the perspective of another compared to the self. </w:t>
      </w:r>
      <w:r w:rsidR="0011345C" w:rsidRPr="007A77EF">
        <w:rPr>
          <w:color w:val="auto"/>
          <w:lang w:val="en-GB"/>
        </w:rPr>
        <w:t xml:space="preserve">An interaction found in the HHb data </w:t>
      </w:r>
      <w:r w:rsidR="0007578E" w:rsidRPr="007A77EF">
        <w:rPr>
          <w:color w:val="auto"/>
          <w:lang w:val="en-GB"/>
        </w:rPr>
        <w:t xml:space="preserve">indicated </w:t>
      </w:r>
      <w:r w:rsidR="0011345C" w:rsidRPr="007A77EF">
        <w:rPr>
          <w:color w:val="auto"/>
          <w:lang w:val="en-GB"/>
        </w:rPr>
        <w:t xml:space="preserve">a bias towards negative images that are </w:t>
      </w:r>
      <w:r w:rsidR="0007578E" w:rsidRPr="007A77EF">
        <w:rPr>
          <w:color w:val="auto"/>
          <w:lang w:val="en-GB"/>
        </w:rPr>
        <w:t xml:space="preserve">interpreted </w:t>
      </w:r>
      <w:r w:rsidR="0011345C" w:rsidRPr="007A77EF">
        <w:rPr>
          <w:color w:val="auto"/>
          <w:lang w:val="en-GB"/>
        </w:rPr>
        <w:t>f</w:t>
      </w:r>
      <w:r w:rsidR="0007578E" w:rsidRPr="007A77EF">
        <w:rPr>
          <w:color w:val="auto"/>
          <w:lang w:val="en-GB"/>
        </w:rPr>
        <w:t>ro</w:t>
      </w:r>
      <w:r w:rsidR="0011345C" w:rsidRPr="007A77EF">
        <w:rPr>
          <w:color w:val="auto"/>
          <w:lang w:val="en-GB"/>
        </w:rPr>
        <w:t>m the perspective of the other, and towards positive images processed from the perspective of the self.</w:t>
      </w:r>
      <w:r w:rsidR="004D1CCC" w:rsidRPr="007A77EF">
        <w:rPr>
          <w:color w:val="auto"/>
          <w:lang w:val="en-GB"/>
        </w:rPr>
        <w:t xml:space="preserve"> There was no evidence of any main effect of emotional valence of the image on rPFC activation. </w:t>
      </w:r>
      <w:r w:rsidR="006D1ABE" w:rsidRPr="007A77EF">
        <w:rPr>
          <w:color w:val="auto"/>
          <w:lang w:val="en-GB"/>
        </w:rPr>
        <w:t xml:space="preserve">These early results </w:t>
      </w:r>
      <w:r w:rsidR="00E31891" w:rsidRPr="007A77EF">
        <w:rPr>
          <w:color w:val="auto"/>
          <w:lang w:val="en-GB"/>
        </w:rPr>
        <w:t>require</w:t>
      </w:r>
      <w:r w:rsidR="006D1ABE" w:rsidRPr="007A77EF">
        <w:rPr>
          <w:color w:val="auto"/>
          <w:lang w:val="en-GB"/>
        </w:rPr>
        <w:t xml:space="preserve"> further work</w:t>
      </w:r>
      <w:r w:rsidR="00E31891" w:rsidRPr="007A77EF">
        <w:rPr>
          <w:color w:val="auto"/>
          <w:lang w:val="en-GB"/>
        </w:rPr>
        <w:t xml:space="preserve"> to understand whether the pattern of bilateral activation observed in the rPFC is a product of increased cognitive demand in a general sense or more specific processes</w:t>
      </w:r>
      <w:r w:rsidR="0011345C" w:rsidRPr="007A77EF">
        <w:rPr>
          <w:color w:val="auto"/>
          <w:lang w:val="en-GB"/>
        </w:rPr>
        <w:t xml:space="preserve"> and how this interacts with the emotional valence</w:t>
      </w:r>
      <w:r w:rsidR="00E31891" w:rsidRPr="007A77EF">
        <w:rPr>
          <w:color w:val="auto"/>
          <w:lang w:val="en-GB"/>
        </w:rPr>
        <w:t xml:space="preserve">. </w:t>
      </w:r>
    </w:p>
    <w:p w14:paraId="07711ACC" w14:textId="77777777" w:rsidR="00344986" w:rsidRPr="007A77EF" w:rsidRDefault="00344986" w:rsidP="00463ABB">
      <w:pPr>
        <w:pStyle w:val="BodyA"/>
        <w:spacing w:line="480" w:lineRule="auto"/>
        <w:rPr>
          <w:color w:val="auto"/>
          <w:lang w:val="en-GB"/>
        </w:rPr>
      </w:pPr>
    </w:p>
    <w:p w14:paraId="0944C79D" w14:textId="77777777" w:rsidR="007B5793" w:rsidRPr="007A77EF" w:rsidRDefault="007B5793" w:rsidP="00463ABB">
      <w:pPr>
        <w:pStyle w:val="BodyA"/>
        <w:spacing w:line="480" w:lineRule="auto"/>
        <w:rPr>
          <w:color w:val="auto"/>
          <w:lang w:val="en-GB"/>
        </w:rPr>
      </w:pPr>
    </w:p>
    <w:p w14:paraId="2EAA8E81" w14:textId="3B07BA9C" w:rsidR="007B5793" w:rsidRPr="007A77EF" w:rsidRDefault="007B5793" w:rsidP="007A5546">
      <w:pPr>
        <w:pStyle w:val="BodyA"/>
        <w:spacing w:line="480" w:lineRule="auto"/>
        <w:jc w:val="center"/>
        <w:rPr>
          <w:color w:val="auto"/>
          <w:lang w:val="en-GB"/>
        </w:rPr>
      </w:pPr>
      <w:r w:rsidRPr="007A77EF">
        <w:rPr>
          <w:color w:val="auto"/>
          <w:lang w:val="en-GB"/>
        </w:rPr>
        <w:t>ACKNOWLEDGEMENTS</w:t>
      </w:r>
    </w:p>
    <w:p w14:paraId="6029B4BE" w14:textId="0C0F15C0" w:rsidR="007B5793" w:rsidRPr="007A77EF" w:rsidRDefault="007A77EF" w:rsidP="007B5793">
      <w:pPr>
        <w:pStyle w:val="BodyA"/>
        <w:spacing w:line="480" w:lineRule="auto"/>
        <w:rPr>
          <w:color w:val="auto"/>
          <w:lang w:val="en-GB"/>
        </w:rPr>
      </w:pPr>
      <w:r w:rsidRPr="007A77EF">
        <w:rPr>
          <w:color w:val="auto"/>
          <w:lang w:val="en-GB"/>
        </w:rPr>
        <w:t>This work was partly funded by the European Commission as part of ICT-2009.4.1 (Digital Libraries and Digital Preservation) unde</w:t>
      </w:r>
      <w:r>
        <w:rPr>
          <w:color w:val="auto"/>
          <w:lang w:val="en-GB"/>
        </w:rPr>
        <w:t>r the ARtSENSE project (270318)</w:t>
      </w:r>
      <w:r w:rsidR="007B5793" w:rsidRPr="007A77EF">
        <w:rPr>
          <w:color w:val="auto"/>
          <w:lang w:val="en-GB"/>
        </w:rPr>
        <w:t>.  We would also like to acknowledge the comments and guidance received from the anonymous reviewers during the preparation of this manuscript.</w:t>
      </w:r>
    </w:p>
    <w:p w14:paraId="0805EAA1" w14:textId="77777777" w:rsidR="00BE4859" w:rsidRPr="007A77EF" w:rsidRDefault="00BE4859" w:rsidP="007B5793">
      <w:pPr>
        <w:pStyle w:val="BodyA"/>
        <w:spacing w:line="480" w:lineRule="auto"/>
        <w:rPr>
          <w:color w:val="auto"/>
          <w:lang w:val="en-GB"/>
        </w:rPr>
      </w:pPr>
    </w:p>
    <w:p w14:paraId="6606E03A" w14:textId="77777777" w:rsidR="00BE4859" w:rsidRPr="007A77EF" w:rsidRDefault="00BE4859" w:rsidP="007B5793">
      <w:pPr>
        <w:pStyle w:val="BodyA"/>
        <w:spacing w:line="480" w:lineRule="auto"/>
        <w:rPr>
          <w:color w:val="auto"/>
          <w:lang w:val="en-GB"/>
        </w:rPr>
      </w:pPr>
    </w:p>
    <w:p w14:paraId="30D504B0" w14:textId="77777777" w:rsidR="00BE4859" w:rsidRPr="007A77EF" w:rsidRDefault="00BE4859" w:rsidP="007B5793">
      <w:pPr>
        <w:pStyle w:val="BodyA"/>
        <w:spacing w:line="480" w:lineRule="auto"/>
        <w:rPr>
          <w:color w:val="auto"/>
          <w:lang w:val="en-GB"/>
        </w:rPr>
      </w:pPr>
    </w:p>
    <w:p w14:paraId="772191D3" w14:textId="77777777" w:rsidR="00BE4859" w:rsidRPr="007A77EF" w:rsidRDefault="00BE4859" w:rsidP="007B5793">
      <w:pPr>
        <w:pStyle w:val="BodyA"/>
        <w:spacing w:line="480" w:lineRule="auto"/>
        <w:rPr>
          <w:color w:val="auto"/>
          <w:lang w:val="en-GB"/>
        </w:rPr>
      </w:pPr>
    </w:p>
    <w:p w14:paraId="08AD3A18" w14:textId="77777777" w:rsidR="001E6175" w:rsidRPr="007A77EF" w:rsidRDefault="001E6175" w:rsidP="007B5793">
      <w:pPr>
        <w:pStyle w:val="BodyA"/>
        <w:spacing w:line="480" w:lineRule="auto"/>
        <w:rPr>
          <w:color w:val="auto"/>
          <w:lang w:val="en-GB"/>
        </w:rPr>
      </w:pPr>
    </w:p>
    <w:p w14:paraId="7CE2D0B7" w14:textId="0D1523C3" w:rsidR="00BA7A80" w:rsidRPr="007A77EF" w:rsidRDefault="00B50FB9" w:rsidP="007A5546">
      <w:pPr>
        <w:pStyle w:val="BodyA"/>
        <w:spacing w:line="480" w:lineRule="auto"/>
        <w:jc w:val="center"/>
        <w:rPr>
          <w:color w:val="auto"/>
          <w:lang w:val="en-GB"/>
        </w:rPr>
      </w:pPr>
      <w:r w:rsidRPr="007A77EF">
        <w:rPr>
          <w:color w:val="auto"/>
          <w:lang w:val="en-GB"/>
        </w:rPr>
        <w:t>REFERENCES</w:t>
      </w:r>
    </w:p>
    <w:p w14:paraId="6889260F" w14:textId="3CDC6C88" w:rsidR="000010A2" w:rsidRPr="007A77EF" w:rsidRDefault="00BA7A80">
      <w:pPr>
        <w:pStyle w:val="NormalWeb"/>
        <w:ind w:left="480" w:hanging="480"/>
        <w:divId w:val="1190794860"/>
        <w:rPr>
          <w:noProof/>
        </w:rPr>
      </w:pPr>
      <w:r w:rsidRPr="007A77EF">
        <w:lastRenderedPageBreak/>
        <w:fldChar w:fldCharType="begin" w:fldLock="1"/>
      </w:r>
      <w:r w:rsidRPr="007A77EF">
        <w:instrText xml:space="preserve">ADDIN Mendeley Bibliography CSL_BIBLIOGRAPHY </w:instrText>
      </w:r>
      <w:r w:rsidRPr="007A77EF">
        <w:fldChar w:fldCharType="separate"/>
      </w:r>
      <w:r w:rsidR="000010A2" w:rsidRPr="007A77EF">
        <w:rPr>
          <w:noProof/>
        </w:rPr>
        <w:t xml:space="preserve">Amting, J. (2010). Multiple Mechanisms of Consciousness: The Neural Correlates of Emotional Awareness. </w:t>
      </w:r>
      <w:r w:rsidR="000010A2" w:rsidRPr="007A77EF">
        <w:rPr>
          <w:i/>
          <w:iCs/>
          <w:noProof/>
        </w:rPr>
        <w:t>The Journal of Neuroscience</w:t>
      </w:r>
      <w:r w:rsidR="000010A2" w:rsidRPr="007A77EF">
        <w:rPr>
          <w:noProof/>
        </w:rPr>
        <w:t xml:space="preserve">, </w:t>
      </w:r>
      <w:r w:rsidR="000010A2" w:rsidRPr="007A77EF">
        <w:rPr>
          <w:i/>
          <w:iCs/>
          <w:noProof/>
        </w:rPr>
        <w:t>30</w:t>
      </w:r>
      <w:r w:rsidR="000010A2" w:rsidRPr="007A77EF">
        <w:rPr>
          <w:noProof/>
        </w:rPr>
        <w:t>(30), 10039–10047. doi:10.1523/JNEUROSCI.6434-09.2010</w:t>
      </w:r>
    </w:p>
    <w:p w14:paraId="70860CAD" w14:textId="77777777" w:rsidR="000010A2" w:rsidRPr="007A77EF" w:rsidRDefault="000010A2">
      <w:pPr>
        <w:pStyle w:val="NormalWeb"/>
        <w:ind w:left="480" w:hanging="480"/>
        <w:divId w:val="1190794860"/>
        <w:rPr>
          <w:noProof/>
        </w:rPr>
      </w:pPr>
      <w:r w:rsidRPr="007A77EF">
        <w:rPr>
          <w:noProof/>
        </w:rPr>
        <w:t xml:space="preserve">Andrews-Hanna, J. R. (2012). The brain’s default network and its adaptive role in internal mentation. </w:t>
      </w:r>
      <w:r w:rsidRPr="007A77EF">
        <w:rPr>
          <w:i/>
          <w:iCs/>
          <w:noProof/>
        </w:rPr>
        <w:t>The Neuroscientist : A Review Journal Bringing Neurobiology, Neurology and Psychiatry</w:t>
      </w:r>
      <w:r w:rsidRPr="007A77EF">
        <w:rPr>
          <w:noProof/>
        </w:rPr>
        <w:t xml:space="preserve">, </w:t>
      </w:r>
      <w:r w:rsidRPr="007A77EF">
        <w:rPr>
          <w:i/>
          <w:iCs/>
          <w:noProof/>
        </w:rPr>
        <w:t>18</w:t>
      </w:r>
      <w:r w:rsidRPr="007A77EF">
        <w:rPr>
          <w:noProof/>
        </w:rPr>
        <w:t>(3), 251–70. doi:10.1177/1073858411403316</w:t>
      </w:r>
    </w:p>
    <w:p w14:paraId="61A13305" w14:textId="77777777" w:rsidR="000010A2" w:rsidRPr="007A77EF" w:rsidRDefault="000010A2">
      <w:pPr>
        <w:pStyle w:val="NormalWeb"/>
        <w:ind w:left="480" w:hanging="480"/>
        <w:divId w:val="1190794860"/>
        <w:rPr>
          <w:noProof/>
        </w:rPr>
      </w:pPr>
      <w:r w:rsidRPr="007A77EF">
        <w:rPr>
          <w:noProof/>
        </w:rPr>
        <w:t xml:space="preserve">Andrews-Hanna, J. R., Reidler, J. S., Sepulcre, J., Poulin, R., &amp; Buckner, R. L. (2010). Functional-anatomic fractionation of the brain’s default network. </w:t>
      </w:r>
      <w:r w:rsidRPr="007A77EF">
        <w:rPr>
          <w:i/>
          <w:iCs/>
          <w:noProof/>
        </w:rPr>
        <w:t>Neuron</w:t>
      </w:r>
      <w:r w:rsidRPr="007A77EF">
        <w:rPr>
          <w:noProof/>
        </w:rPr>
        <w:t xml:space="preserve">, </w:t>
      </w:r>
      <w:r w:rsidRPr="007A77EF">
        <w:rPr>
          <w:i/>
          <w:iCs/>
          <w:noProof/>
        </w:rPr>
        <w:t>65</w:t>
      </w:r>
      <w:r w:rsidRPr="007A77EF">
        <w:rPr>
          <w:noProof/>
        </w:rPr>
        <w:t>(4), 550–62. doi:10.1016/j.neuron.2010.02.005</w:t>
      </w:r>
    </w:p>
    <w:p w14:paraId="002F2F7F" w14:textId="77777777" w:rsidR="000010A2" w:rsidRPr="007A77EF" w:rsidRDefault="000010A2">
      <w:pPr>
        <w:pStyle w:val="NormalWeb"/>
        <w:ind w:left="480" w:hanging="480"/>
        <w:divId w:val="1190794860"/>
        <w:rPr>
          <w:noProof/>
        </w:rPr>
      </w:pPr>
      <w:r w:rsidRPr="007A77EF">
        <w:rPr>
          <w:noProof/>
        </w:rPr>
        <w:t xml:space="preserve">Araujo, H. F., Kaplan, J., &amp; Damasio, A. (2013). Cortical Midline Structures and Autobiographical-Self Processes: An Activation-Likelihood Estimation Meta-Analysis. </w:t>
      </w:r>
      <w:r w:rsidRPr="007A77EF">
        <w:rPr>
          <w:i/>
          <w:iCs/>
          <w:noProof/>
        </w:rPr>
        <w:t>Frontiers in Human Neuroscience</w:t>
      </w:r>
      <w:r w:rsidRPr="007A77EF">
        <w:rPr>
          <w:noProof/>
        </w:rPr>
        <w:t xml:space="preserve">, </w:t>
      </w:r>
      <w:r w:rsidRPr="007A77EF">
        <w:rPr>
          <w:i/>
          <w:iCs/>
          <w:noProof/>
        </w:rPr>
        <w:t>7</w:t>
      </w:r>
      <w:r w:rsidRPr="007A77EF">
        <w:rPr>
          <w:noProof/>
        </w:rPr>
        <w:t>(September), 548. doi:10.3389/fnhum.2013.00548</w:t>
      </w:r>
    </w:p>
    <w:p w14:paraId="2D3DC519" w14:textId="77777777" w:rsidR="000010A2" w:rsidRPr="007A77EF" w:rsidRDefault="000010A2">
      <w:pPr>
        <w:pStyle w:val="NormalWeb"/>
        <w:ind w:left="480" w:hanging="480"/>
        <w:divId w:val="1190794860"/>
        <w:rPr>
          <w:noProof/>
        </w:rPr>
      </w:pPr>
      <w:r w:rsidRPr="007A77EF">
        <w:rPr>
          <w:noProof/>
        </w:rPr>
        <w:t xml:space="preserve">Ayaz, H., Izzetoglu, M., Platek, S. M., Bunce, S., Izzetoglu, K., Pourrezaei, K., &amp; Onaral, B. (2006). Registering fNIR data to brain surface image using MRI templates. </w:t>
      </w:r>
      <w:r w:rsidRPr="007A77EF">
        <w:rPr>
          <w:i/>
          <w:iCs/>
          <w:noProof/>
        </w:rPr>
        <w:t>Conference Proceedings : ... Annual International Conference of the IEEE Engineering in Medicine and Biology Society. IEEE Engineering in Medicine and Biology Society. Conference</w:t>
      </w:r>
      <w:r w:rsidRPr="007A77EF">
        <w:rPr>
          <w:noProof/>
        </w:rPr>
        <w:t xml:space="preserve">, </w:t>
      </w:r>
      <w:r w:rsidRPr="007A77EF">
        <w:rPr>
          <w:i/>
          <w:iCs/>
          <w:noProof/>
        </w:rPr>
        <w:t>1</w:t>
      </w:r>
      <w:r w:rsidRPr="007A77EF">
        <w:rPr>
          <w:noProof/>
        </w:rPr>
        <w:t>, 2671–4. doi:10.1109/IEMBS.2006.260835</w:t>
      </w:r>
    </w:p>
    <w:p w14:paraId="35BF1F22" w14:textId="77777777" w:rsidR="000010A2" w:rsidRPr="007A77EF" w:rsidRDefault="000010A2">
      <w:pPr>
        <w:pStyle w:val="NormalWeb"/>
        <w:ind w:left="480" w:hanging="480"/>
        <w:divId w:val="1190794860"/>
        <w:rPr>
          <w:noProof/>
        </w:rPr>
      </w:pPr>
      <w:r w:rsidRPr="007A77EF">
        <w:rPr>
          <w:noProof/>
        </w:rPr>
        <w:t xml:space="preserve">Ayaz, H., Izzetoglu, M., Shewokis, P. A., &amp; Onaral, B. (2010). Sliding-window motion artifact rejection for Functional Near-Infrared Spectroscopy. </w:t>
      </w:r>
      <w:r w:rsidRPr="007A77EF">
        <w:rPr>
          <w:i/>
          <w:iCs/>
          <w:noProof/>
        </w:rPr>
        <w:t>Conference Proceedings : ... Annual International Conference of the IEEE Engineering in Medicine and Biology Society. IEEE Engineering in Medicine and Biology Society. Conference</w:t>
      </w:r>
      <w:r w:rsidRPr="007A77EF">
        <w:rPr>
          <w:noProof/>
        </w:rPr>
        <w:t xml:space="preserve">, </w:t>
      </w:r>
      <w:r w:rsidRPr="007A77EF">
        <w:rPr>
          <w:i/>
          <w:iCs/>
          <w:noProof/>
        </w:rPr>
        <w:t>2010</w:t>
      </w:r>
      <w:r w:rsidRPr="007A77EF">
        <w:rPr>
          <w:noProof/>
        </w:rPr>
        <w:t>, 6567–70. doi:10.1109/IEMBS.2010.5627113</w:t>
      </w:r>
    </w:p>
    <w:p w14:paraId="001A356B" w14:textId="77777777" w:rsidR="000010A2" w:rsidRPr="007A77EF" w:rsidRDefault="000010A2">
      <w:pPr>
        <w:pStyle w:val="NormalWeb"/>
        <w:ind w:left="480" w:hanging="480"/>
        <w:divId w:val="1190794860"/>
        <w:rPr>
          <w:noProof/>
        </w:rPr>
      </w:pPr>
      <w:r w:rsidRPr="007A77EF">
        <w:rPr>
          <w:noProof/>
        </w:rPr>
        <w:t xml:space="preserve">Ayaz, H., Shewokis, P. A., Curtin, A., Izzetoglu, M., Izzetoglu, K., &amp; Onaral, B. (2011). Using MazeSuite and functional near infrared spectroscopy to study learning in spatial navigation. </w:t>
      </w:r>
      <w:r w:rsidRPr="007A77EF">
        <w:rPr>
          <w:i/>
          <w:iCs/>
          <w:noProof/>
        </w:rPr>
        <w:t>Journal of Visualized Experiments : JoVE</w:t>
      </w:r>
      <w:r w:rsidRPr="007A77EF">
        <w:rPr>
          <w:noProof/>
        </w:rPr>
        <w:t>, (56). doi:10.3791/3443</w:t>
      </w:r>
    </w:p>
    <w:p w14:paraId="08800A17" w14:textId="77777777" w:rsidR="000010A2" w:rsidRPr="007A77EF" w:rsidRDefault="000010A2">
      <w:pPr>
        <w:pStyle w:val="NormalWeb"/>
        <w:ind w:left="480" w:hanging="480"/>
        <w:divId w:val="1190794860"/>
        <w:rPr>
          <w:noProof/>
        </w:rPr>
      </w:pPr>
      <w:r w:rsidRPr="007A77EF">
        <w:rPr>
          <w:noProof/>
        </w:rPr>
        <w:t xml:space="preserve">Baumeister, R. F. (2014). Self-regulation, ego depletion, and inhibition. </w:t>
      </w:r>
      <w:r w:rsidRPr="007A77EF">
        <w:rPr>
          <w:i/>
          <w:iCs/>
          <w:noProof/>
        </w:rPr>
        <w:t>Neuropsychologia</w:t>
      </w:r>
      <w:r w:rsidRPr="007A77EF">
        <w:rPr>
          <w:noProof/>
        </w:rPr>
        <w:t xml:space="preserve">, </w:t>
      </w:r>
      <w:r w:rsidRPr="007A77EF">
        <w:rPr>
          <w:i/>
          <w:iCs/>
          <w:noProof/>
        </w:rPr>
        <w:t>65</w:t>
      </w:r>
      <w:r w:rsidRPr="007A77EF">
        <w:rPr>
          <w:noProof/>
        </w:rPr>
        <w:t>, 313 – 319. doi:doi:10.1016/j.neuropsychologia.2014.08.012</w:t>
      </w:r>
    </w:p>
    <w:p w14:paraId="330FBB05" w14:textId="77777777" w:rsidR="000010A2" w:rsidRPr="007A77EF" w:rsidRDefault="000010A2">
      <w:pPr>
        <w:pStyle w:val="NormalWeb"/>
        <w:ind w:left="480" w:hanging="480"/>
        <w:divId w:val="1190794860"/>
        <w:rPr>
          <w:noProof/>
        </w:rPr>
      </w:pPr>
      <w:r w:rsidRPr="007A77EF">
        <w:rPr>
          <w:noProof/>
        </w:rPr>
        <w:t xml:space="preserve">Baumeister, R. F., Bratslavsky, E., Muraven, M., &amp; Tice, D. M. (1998). Ego depletion: Is the active self a limited resource? </w:t>
      </w:r>
      <w:r w:rsidRPr="007A77EF">
        <w:rPr>
          <w:i/>
          <w:iCs/>
          <w:noProof/>
        </w:rPr>
        <w:t>Journal of Personality and Social Psychology</w:t>
      </w:r>
      <w:r w:rsidRPr="007A77EF">
        <w:rPr>
          <w:noProof/>
        </w:rPr>
        <w:t xml:space="preserve">, </w:t>
      </w:r>
      <w:r w:rsidRPr="007A77EF">
        <w:rPr>
          <w:i/>
          <w:iCs/>
          <w:noProof/>
        </w:rPr>
        <w:t>74</w:t>
      </w:r>
      <w:r w:rsidRPr="007A77EF">
        <w:rPr>
          <w:noProof/>
        </w:rPr>
        <w:t>(5), 1252 – 1265.</w:t>
      </w:r>
    </w:p>
    <w:p w14:paraId="7D868C8A" w14:textId="77777777" w:rsidR="000010A2" w:rsidRDefault="000010A2">
      <w:pPr>
        <w:pStyle w:val="NormalWeb"/>
        <w:ind w:left="480" w:hanging="480"/>
        <w:divId w:val="1190794860"/>
        <w:rPr>
          <w:noProof/>
        </w:rPr>
      </w:pPr>
      <w:r w:rsidRPr="007A77EF">
        <w:rPr>
          <w:noProof/>
        </w:rPr>
        <w:t xml:space="preserve">Benoit, R. G., Gilbert, S. J., Volle, E., &amp; Burgess, P. W. (2010). When I think about me and simulate you: medial rostral prefrontal cortex and self-referential processes. </w:t>
      </w:r>
      <w:r w:rsidRPr="007A77EF">
        <w:rPr>
          <w:i/>
          <w:iCs/>
          <w:noProof/>
        </w:rPr>
        <w:t>NeuroImage</w:t>
      </w:r>
      <w:r w:rsidRPr="007A77EF">
        <w:rPr>
          <w:noProof/>
        </w:rPr>
        <w:t xml:space="preserve">, </w:t>
      </w:r>
      <w:r w:rsidRPr="007A77EF">
        <w:rPr>
          <w:i/>
          <w:iCs/>
          <w:noProof/>
        </w:rPr>
        <w:t>50</w:t>
      </w:r>
      <w:r w:rsidRPr="007A77EF">
        <w:rPr>
          <w:noProof/>
        </w:rPr>
        <w:t>(3), 1340–9. doi:10.1016/j.neuroimage.2009.12.091</w:t>
      </w:r>
    </w:p>
    <w:p w14:paraId="43FEB257" w14:textId="77777777" w:rsidR="00B71D2E" w:rsidRPr="00570318" w:rsidRDefault="00B71D2E" w:rsidP="00B71D2E">
      <w:pPr>
        <w:pStyle w:val="NormalWeb"/>
        <w:ind w:left="480" w:hanging="480"/>
        <w:divId w:val="1190794860"/>
        <w:rPr>
          <w:rFonts w:ascii="Calibri" w:hAnsi="Calibri"/>
          <w:noProof/>
        </w:rPr>
      </w:pPr>
      <w:r w:rsidRPr="00570318">
        <w:rPr>
          <w:rFonts w:ascii="Calibri" w:hAnsi="Calibri"/>
          <w:noProof/>
        </w:rPr>
        <w:t xml:space="preserve">Berlyne, D. E. (1960). </w:t>
      </w:r>
      <w:r w:rsidRPr="00570318">
        <w:rPr>
          <w:rFonts w:ascii="Calibri" w:hAnsi="Calibri"/>
          <w:i/>
          <w:iCs/>
          <w:noProof/>
        </w:rPr>
        <w:t>Conflict, Arousal, and Curiosity</w:t>
      </w:r>
      <w:r w:rsidRPr="00570318">
        <w:rPr>
          <w:rFonts w:ascii="Calibri" w:hAnsi="Calibri"/>
          <w:noProof/>
        </w:rPr>
        <w:t>. London: McGraw-Hill Book Company.</w:t>
      </w:r>
    </w:p>
    <w:p w14:paraId="499DC0EA" w14:textId="77777777" w:rsidR="00B71D2E" w:rsidRPr="007A77EF" w:rsidRDefault="00B71D2E" w:rsidP="00B71D2E">
      <w:pPr>
        <w:pStyle w:val="NormalWeb"/>
        <w:divId w:val="1190794860"/>
        <w:rPr>
          <w:noProof/>
        </w:rPr>
      </w:pPr>
    </w:p>
    <w:p w14:paraId="2DCA8401" w14:textId="77777777" w:rsidR="000010A2" w:rsidRPr="007A77EF" w:rsidRDefault="000010A2">
      <w:pPr>
        <w:pStyle w:val="NormalWeb"/>
        <w:ind w:left="480" w:hanging="480"/>
        <w:divId w:val="1190794860"/>
        <w:rPr>
          <w:noProof/>
        </w:rPr>
      </w:pPr>
      <w:r w:rsidRPr="007A77EF">
        <w:rPr>
          <w:noProof/>
        </w:rPr>
        <w:t xml:space="preserve">Blakemore, S. J., &amp; Decety, J. (2001). From the perception of action to the understanding of intention. </w:t>
      </w:r>
      <w:r w:rsidRPr="007A77EF">
        <w:rPr>
          <w:i/>
          <w:iCs/>
          <w:noProof/>
        </w:rPr>
        <w:t>Nature Reviews Neuroscience</w:t>
      </w:r>
      <w:r w:rsidRPr="007A77EF">
        <w:rPr>
          <w:noProof/>
        </w:rPr>
        <w:t xml:space="preserve">, </w:t>
      </w:r>
      <w:r w:rsidRPr="007A77EF">
        <w:rPr>
          <w:i/>
          <w:iCs/>
          <w:noProof/>
        </w:rPr>
        <w:t>2</w:t>
      </w:r>
      <w:r w:rsidRPr="007A77EF">
        <w:rPr>
          <w:noProof/>
        </w:rPr>
        <w:t>, 561 – 567.</w:t>
      </w:r>
    </w:p>
    <w:p w14:paraId="4D36F1F4" w14:textId="77777777" w:rsidR="000010A2" w:rsidRPr="007A77EF" w:rsidRDefault="000010A2">
      <w:pPr>
        <w:pStyle w:val="NormalWeb"/>
        <w:ind w:left="480" w:hanging="480"/>
        <w:divId w:val="1190794860"/>
        <w:rPr>
          <w:noProof/>
        </w:rPr>
      </w:pPr>
      <w:r w:rsidRPr="007A77EF">
        <w:rPr>
          <w:noProof/>
        </w:rPr>
        <w:lastRenderedPageBreak/>
        <w:t xml:space="preserve">Buckner, R. L., Andrews-Hanna, J. R., &amp; Schacter, D. L. (2008). The brain’s default network: anatomy, function, and relevance to disease. </w:t>
      </w:r>
      <w:r w:rsidRPr="007A77EF">
        <w:rPr>
          <w:i/>
          <w:iCs/>
          <w:noProof/>
        </w:rPr>
        <w:t>Annals of the New York Academy of Sciences</w:t>
      </w:r>
      <w:r w:rsidRPr="007A77EF">
        <w:rPr>
          <w:noProof/>
        </w:rPr>
        <w:t xml:space="preserve">, </w:t>
      </w:r>
      <w:r w:rsidRPr="007A77EF">
        <w:rPr>
          <w:i/>
          <w:iCs/>
          <w:noProof/>
        </w:rPr>
        <w:t>1124</w:t>
      </w:r>
      <w:r w:rsidRPr="007A77EF">
        <w:rPr>
          <w:noProof/>
        </w:rPr>
        <w:t>, 1–38. doi:10.1196/annals.1440.011</w:t>
      </w:r>
    </w:p>
    <w:p w14:paraId="4FED0471" w14:textId="433DDE0C" w:rsidR="000010A2" w:rsidRPr="007A77EF" w:rsidRDefault="000010A2">
      <w:pPr>
        <w:pStyle w:val="NormalWeb"/>
        <w:ind w:left="480" w:hanging="480"/>
        <w:divId w:val="1190794860"/>
        <w:rPr>
          <w:noProof/>
        </w:rPr>
      </w:pPr>
      <w:r w:rsidRPr="007A77EF">
        <w:rPr>
          <w:noProof/>
        </w:rPr>
        <w:t>Burgess, P. W., Dumont</w:t>
      </w:r>
      <w:r w:rsidR="00B71D2E">
        <w:rPr>
          <w:noProof/>
        </w:rPr>
        <w:t>heil, I., &amp; Gilbert, S. J. (2007</w:t>
      </w:r>
      <w:r w:rsidRPr="007A77EF">
        <w:rPr>
          <w:noProof/>
        </w:rPr>
        <w:t xml:space="preserve">). The gateway hypothesis of rostral prefrontal cortex (area 10) function. </w:t>
      </w:r>
      <w:r w:rsidRPr="007A77EF">
        <w:rPr>
          <w:i/>
          <w:iCs/>
          <w:noProof/>
        </w:rPr>
        <w:t>Measuring the Mind: Speed, Control, and Age</w:t>
      </w:r>
      <w:r w:rsidRPr="007A77EF">
        <w:rPr>
          <w:noProof/>
        </w:rPr>
        <w:t xml:space="preserve">, </w:t>
      </w:r>
      <w:r w:rsidRPr="007A77EF">
        <w:rPr>
          <w:i/>
          <w:iCs/>
          <w:noProof/>
        </w:rPr>
        <w:t>11</w:t>
      </w:r>
      <w:r w:rsidRPr="007A77EF">
        <w:rPr>
          <w:noProof/>
        </w:rPr>
        <w:t>(7), 290–8. doi:10.1016/j.tics.2007.05.004</w:t>
      </w:r>
    </w:p>
    <w:p w14:paraId="52D044FB" w14:textId="77777777" w:rsidR="000010A2" w:rsidRPr="007A77EF" w:rsidRDefault="000010A2">
      <w:pPr>
        <w:pStyle w:val="NormalWeb"/>
        <w:ind w:left="480" w:hanging="480"/>
        <w:divId w:val="1190794860"/>
        <w:rPr>
          <w:noProof/>
        </w:rPr>
      </w:pPr>
      <w:r w:rsidRPr="007A77EF">
        <w:rPr>
          <w:noProof/>
        </w:rPr>
        <w:t xml:space="preserve">Carruthers, P., &amp; Smith, P. K. (1996). </w:t>
      </w:r>
      <w:r w:rsidRPr="007A77EF">
        <w:rPr>
          <w:i/>
          <w:iCs/>
          <w:noProof/>
        </w:rPr>
        <w:t>Theories of theories of mind</w:t>
      </w:r>
      <w:r w:rsidRPr="007A77EF">
        <w:rPr>
          <w:noProof/>
        </w:rPr>
        <w:t>. Cambridge: Cambridge University Press.</w:t>
      </w:r>
    </w:p>
    <w:p w14:paraId="1AF33A89" w14:textId="77777777" w:rsidR="000010A2" w:rsidRPr="007A77EF" w:rsidRDefault="000010A2">
      <w:pPr>
        <w:pStyle w:val="NormalWeb"/>
        <w:ind w:left="480" w:hanging="480"/>
        <w:divId w:val="1190794860"/>
        <w:rPr>
          <w:noProof/>
        </w:rPr>
      </w:pPr>
      <w:r w:rsidRPr="007A77EF">
        <w:rPr>
          <w:noProof/>
        </w:rPr>
        <w:t xml:space="preserve">Christoff, K., Ream, J. M., Geddes, L. P. T., &amp; Gabrieli, J. D. E. (2003). Evaluating self-generated information: anterior prefrontal contributions to human cognition. </w:t>
      </w:r>
      <w:r w:rsidRPr="007A77EF">
        <w:rPr>
          <w:i/>
          <w:iCs/>
          <w:noProof/>
        </w:rPr>
        <w:t>Behavioral Neuroscience</w:t>
      </w:r>
      <w:r w:rsidRPr="007A77EF">
        <w:rPr>
          <w:noProof/>
        </w:rPr>
        <w:t xml:space="preserve">, </w:t>
      </w:r>
      <w:r w:rsidRPr="007A77EF">
        <w:rPr>
          <w:i/>
          <w:iCs/>
          <w:noProof/>
        </w:rPr>
        <w:t>117</w:t>
      </w:r>
      <w:r w:rsidRPr="007A77EF">
        <w:rPr>
          <w:noProof/>
        </w:rPr>
        <w:t>(6), 1161–8. doi:10.1037/0735-7044.117.6.1161</w:t>
      </w:r>
    </w:p>
    <w:p w14:paraId="00195C16" w14:textId="77777777" w:rsidR="000010A2" w:rsidRPr="007A77EF" w:rsidRDefault="000010A2">
      <w:pPr>
        <w:pStyle w:val="NormalWeb"/>
        <w:ind w:left="480" w:hanging="480"/>
        <w:divId w:val="1190794860"/>
        <w:rPr>
          <w:noProof/>
        </w:rPr>
      </w:pPr>
      <w:r w:rsidRPr="007A77EF">
        <w:rPr>
          <w:noProof/>
        </w:rPr>
        <w:t xml:space="preserve">Cupchik, G. C., Vartanian, O., Crawley, A., &amp; Mikulis, D. J. (2009). Viewing artworks: contributions of cognitive control and perceptual facilitation to aesthetic experience. </w:t>
      </w:r>
      <w:r w:rsidRPr="007A77EF">
        <w:rPr>
          <w:i/>
          <w:iCs/>
          <w:noProof/>
        </w:rPr>
        <w:t>Brain and Cognition</w:t>
      </w:r>
      <w:r w:rsidRPr="007A77EF">
        <w:rPr>
          <w:noProof/>
        </w:rPr>
        <w:t xml:space="preserve">, </w:t>
      </w:r>
      <w:r w:rsidRPr="007A77EF">
        <w:rPr>
          <w:i/>
          <w:iCs/>
          <w:noProof/>
        </w:rPr>
        <w:t>70</w:t>
      </w:r>
      <w:r w:rsidRPr="007A77EF">
        <w:rPr>
          <w:noProof/>
        </w:rPr>
        <w:t>(1), 84–91. doi:10.1016/j.bandc.2009.01.003</w:t>
      </w:r>
    </w:p>
    <w:p w14:paraId="67EE61F3" w14:textId="57F9EB89" w:rsidR="000010A2" w:rsidRPr="007A77EF" w:rsidRDefault="000010A2">
      <w:pPr>
        <w:pStyle w:val="NormalWeb"/>
        <w:ind w:left="480" w:hanging="480"/>
        <w:divId w:val="1190794860"/>
        <w:rPr>
          <w:noProof/>
        </w:rPr>
      </w:pPr>
      <w:r w:rsidRPr="007A77EF">
        <w:rPr>
          <w:noProof/>
        </w:rPr>
        <w:t xml:space="preserve">Denny, B. T., Kober, H., Wager, T. D., &amp; Ochsner, K. N. (2012). A Meta-analysis of Functional Neuroimaging Studies of Self- and Other Judgments Reveals a Spatial Gradient for Mentalizing in Medial Prefrontal Cortex. </w:t>
      </w:r>
      <w:r w:rsidRPr="007A77EF">
        <w:rPr>
          <w:i/>
          <w:iCs/>
          <w:noProof/>
        </w:rPr>
        <w:t>Journal of Cognitive Neuroscience</w:t>
      </w:r>
      <w:r w:rsidRPr="007A77EF">
        <w:rPr>
          <w:noProof/>
        </w:rPr>
        <w:t xml:space="preserve">, </w:t>
      </w:r>
      <w:r w:rsidRPr="007A77EF">
        <w:rPr>
          <w:i/>
          <w:iCs/>
          <w:noProof/>
        </w:rPr>
        <w:t>24</w:t>
      </w:r>
      <w:r w:rsidRPr="007A77EF">
        <w:rPr>
          <w:noProof/>
        </w:rPr>
        <w:t xml:space="preserve">(8), 1742–1752. </w:t>
      </w:r>
    </w:p>
    <w:p w14:paraId="3F309CB1" w14:textId="77777777" w:rsidR="000010A2" w:rsidRPr="007A77EF" w:rsidRDefault="000010A2">
      <w:pPr>
        <w:pStyle w:val="NormalWeb"/>
        <w:ind w:left="480" w:hanging="480"/>
        <w:divId w:val="1190794860"/>
        <w:rPr>
          <w:noProof/>
        </w:rPr>
      </w:pPr>
      <w:r w:rsidRPr="007A77EF">
        <w:rPr>
          <w:noProof/>
        </w:rPr>
        <w:t xml:space="preserve">Dolcos, F., LaBar, K. S., &amp; Cabeza, R. (2004). Dissociable effects of arousal and valence on prefrontal activity indexing emotional evaluation and subsequent memory: an event-related fMRI study. </w:t>
      </w:r>
      <w:r w:rsidRPr="007A77EF">
        <w:rPr>
          <w:i/>
          <w:iCs/>
          <w:noProof/>
        </w:rPr>
        <w:t>NeuroImage</w:t>
      </w:r>
      <w:r w:rsidRPr="007A77EF">
        <w:rPr>
          <w:noProof/>
        </w:rPr>
        <w:t xml:space="preserve">, </w:t>
      </w:r>
      <w:r w:rsidRPr="007A77EF">
        <w:rPr>
          <w:i/>
          <w:iCs/>
          <w:noProof/>
        </w:rPr>
        <w:t>23</w:t>
      </w:r>
      <w:r w:rsidRPr="007A77EF">
        <w:rPr>
          <w:noProof/>
        </w:rPr>
        <w:t>(1), 64–74. doi:10.1016/j.neuroimage.2004.05.015</w:t>
      </w:r>
    </w:p>
    <w:p w14:paraId="46F80B9D" w14:textId="77777777" w:rsidR="000010A2" w:rsidRPr="007A77EF" w:rsidRDefault="000010A2">
      <w:pPr>
        <w:pStyle w:val="NormalWeb"/>
        <w:ind w:left="480" w:hanging="480"/>
        <w:divId w:val="1190794860"/>
        <w:rPr>
          <w:noProof/>
        </w:rPr>
      </w:pPr>
      <w:r w:rsidRPr="007A77EF">
        <w:rPr>
          <w:noProof/>
        </w:rPr>
        <w:t xml:space="preserve">Dunbar, R. I. M. (2012). The social brain meets neuroimaging. </w:t>
      </w:r>
      <w:r w:rsidRPr="007A77EF">
        <w:rPr>
          <w:i/>
          <w:iCs/>
          <w:noProof/>
        </w:rPr>
        <w:t>Trends in Cognitive Sciences</w:t>
      </w:r>
      <w:r w:rsidRPr="007A77EF">
        <w:rPr>
          <w:noProof/>
        </w:rPr>
        <w:t xml:space="preserve">, </w:t>
      </w:r>
      <w:r w:rsidRPr="007A77EF">
        <w:rPr>
          <w:i/>
          <w:iCs/>
          <w:noProof/>
        </w:rPr>
        <w:t>16</w:t>
      </w:r>
      <w:r w:rsidRPr="007A77EF">
        <w:rPr>
          <w:noProof/>
        </w:rPr>
        <w:t>(2), 101–2. doi:10.1016/j.tics.2011.11.013</w:t>
      </w:r>
    </w:p>
    <w:p w14:paraId="34E273A8" w14:textId="77777777" w:rsidR="000010A2" w:rsidRPr="007A77EF" w:rsidRDefault="000010A2">
      <w:pPr>
        <w:pStyle w:val="NormalWeb"/>
        <w:ind w:left="480" w:hanging="480"/>
        <w:divId w:val="1190794860"/>
        <w:rPr>
          <w:noProof/>
        </w:rPr>
      </w:pPr>
      <w:r w:rsidRPr="007A77EF">
        <w:rPr>
          <w:noProof/>
        </w:rPr>
        <w:t xml:space="preserve">Engle, J. S. (1904). </w:t>
      </w:r>
      <w:r w:rsidRPr="007A77EF">
        <w:rPr>
          <w:i/>
          <w:iCs/>
          <w:noProof/>
        </w:rPr>
        <w:t>Analytic Interest Psychology and Synthetic Philosophy</w:t>
      </w:r>
      <w:r w:rsidRPr="007A77EF">
        <w:rPr>
          <w:noProof/>
        </w:rPr>
        <w:t>. Baltimore: King Brothers.</w:t>
      </w:r>
    </w:p>
    <w:p w14:paraId="6E7BC3E7" w14:textId="566097BC" w:rsidR="000010A2" w:rsidRPr="007A77EF" w:rsidRDefault="000010A2">
      <w:pPr>
        <w:pStyle w:val="NormalWeb"/>
        <w:ind w:left="480" w:hanging="480"/>
        <w:divId w:val="1190794860"/>
        <w:rPr>
          <w:noProof/>
        </w:rPr>
      </w:pPr>
      <w:r w:rsidRPr="007A77EF">
        <w:rPr>
          <w:noProof/>
        </w:rPr>
        <w:t>Ernst, L. H., Plichta, M. M., Lutz, E., Zesewitz, A. K., Tupak, S. V, Dresler, T., … Fallgatter, A. J. (2013). Prefrontal activation patterns of automatic and regulated approach-avoidance reactions - a functional near-infrared spectroscopy (</w:t>
      </w:r>
      <w:r w:rsidR="00D42BF3" w:rsidRPr="007A77EF">
        <w:rPr>
          <w:noProof/>
        </w:rPr>
        <w:t>fNIRS</w:t>
      </w:r>
      <w:r w:rsidRPr="007A77EF">
        <w:rPr>
          <w:noProof/>
        </w:rPr>
        <w:t xml:space="preserve">) study. </w:t>
      </w:r>
      <w:r w:rsidRPr="007A77EF">
        <w:rPr>
          <w:i/>
          <w:iCs/>
          <w:noProof/>
        </w:rPr>
        <w:t>Cortex; a Journal Devoted to the Study of the Nervous System and Behavior</w:t>
      </w:r>
      <w:r w:rsidRPr="007A77EF">
        <w:rPr>
          <w:noProof/>
        </w:rPr>
        <w:t xml:space="preserve">, </w:t>
      </w:r>
      <w:r w:rsidRPr="007A77EF">
        <w:rPr>
          <w:i/>
          <w:iCs/>
          <w:noProof/>
        </w:rPr>
        <w:t>49</w:t>
      </w:r>
      <w:r w:rsidRPr="007A77EF">
        <w:rPr>
          <w:noProof/>
        </w:rPr>
        <w:t>(1), 131–42. doi:10.1016/j.cortex.2011.09.013</w:t>
      </w:r>
    </w:p>
    <w:p w14:paraId="1D1766E3" w14:textId="77777777" w:rsidR="000010A2" w:rsidRPr="007A77EF" w:rsidRDefault="000010A2">
      <w:pPr>
        <w:pStyle w:val="NormalWeb"/>
        <w:ind w:left="480" w:hanging="480"/>
        <w:divId w:val="1190794860"/>
        <w:rPr>
          <w:noProof/>
        </w:rPr>
      </w:pPr>
      <w:r w:rsidRPr="007A77EF">
        <w:rPr>
          <w:noProof/>
        </w:rPr>
        <w:t xml:space="preserve">Ernst, L. H., Weidner, A., Ehlis, A., &amp; Fallgatter, A. J. (2012). Controlled attention allocation mediates the relation between goal-oriented pursuit and approach – avoidance reactions to negative stimuli. </w:t>
      </w:r>
      <w:r w:rsidRPr="007A77EF">
        <w:rPr>
          <w:i/>
          <w:iCs/>
          <w:noProof/>
        </w:rPr>
        <w:t>Biological Psychology</w:t>
      </w:r>
      <w:r w:rsidRPr="007A77EF">
        <w:rPr>
          <w:noProof/>
        </w:rPr>
        <w:t xml:space="preserve">, </w:t>
      </w:r>
      <w:r w:rsidRPr="007A77EF">
        <w:rPr>
          <w:i/>
          <w:iCs/>
          <w:noProof/>
        </w:rPr>
        <w:t>91</w:t>
      </w:r>
      <w:r w:rsidRPr="007A77EF">
        <w:rPr>
          <w:noProof/>
        </w:rPr>
        <w:t>(2), 312–320. doi:10.1016/j.biopsycho.2012.08.004</w:t>
      </w:r>
    </w:p>
    <w:p w14:paraId="25D2D095" w14:textId="77777777" w:rsidR="000010A2" w:rsidRPr="007A77EF" w:rsidRDefault="000010A2">
      <w:pPr>
        <w:pStyle w:val="NormalWeb"/>
        <w:ind w:left="480" w:hanging="480"/>
        <w:divId w:val="1190794860"/>
        <w:rPr>
          <w:noProof/>
        </w:rPr>
      </w:pPr>
      <w:r w:rsidRPr="007A77EF">
        <w:rPr>
          <w:noProof/>
        </w:rPr>
        <w:t xml:space="preserve">Freedberg, D., &amp; Gallese, V. (2007). Motion, emotion and empathy in esthetic experience. </w:t>
      </w:r>
      <w:r w:rsidRPr="007A77EF">
        <w:rPr>
          <w:i/>
          <w:iCs/>
          <w:noProof/>
        </w:rPr>
        <w:t>Trends in Cognitive Sciences</w:t>
      </w:r>
      <w:r w:rsidRPr="007A77EF">
        <w:rPr>
          <w:noProof/>
        </w:rPr>
        <w:t xml:space="preserve">, </w:t>
      </w:r>
      <w:r w:rsidRPr="007A77EF">
        <w:rPr>
          <w:i/>
          <w:iCs/>
          <w:noProof/>
        </w:rPr>
        <w:t>11</w:t>
      </w:r>
      <w:r w:rsidRPr="007A77EF">
        <w:rPr>
          <w:noProof/>
        </w:rPr>
        <w:t>(5), 197–203. doi:10.1016/j.tics.2007.02.003</w:t>
      </w:r>
    </w:p>
    <w:p w14:paraId="2398ADDC" w14:textId="77777777" w:rsidR="000010A2" w:rsidRPr="007A77EF" w:rsidRDefault="000010A2">
      <w:pPr>
        <w:pStyle w:val="NormalWeb"/>
        <w:ind w:left="480" w:hanging="480"/>
        <w:divId w:val="1190794860"/>
        <w:rPr>
          <w:noProof/>
        </w:rPr>
      </w:pPr>
      <w:r w:rsidRPr="007A77EF">
        <w:rPr>
          <w:noProof/>
        </w:rPr>
        <w:t xml:space="preserve">Gibbs Jr., R. W. (2006). </w:t>
      </w:r>
      <w:r w:rsidRPr="007A77EF">
        <w:rPr>
          <w:i/>
          <w:iCs/>
          <w:noProof/>
        </w:rPr>
        <w:t>Embodiment and cognitive science.</w:t>
      </w:r>
      <w:r w:rsidRPr="007A77EF">
        <w:rPr>
          <w:noProof/>
        </w:rPr>
        <w:t xml:space="preserve"> New York: Cambridge University Press.</w:t>
      </w:r>
    </w:p>
    <w:p w14:paraId="3352A092" w14:textId="77777777" w:rsidR="000010A2" w:rsidRPr="007A77EF" w:rsidRDefault="000010A2">
      <w:pPr>
        <w:pStyle w:val="NormalWeb"/>
        <w:ind w:left="480" w:hanging="480"/>
        <w:divId w:val="1190794860"/>
        <w:rPr>
          <w:noProof/>
        </w:rPr>
      </w:pPr>
      <w:r w:rsidRPr="007A77EF">
        <w:rPr>
          <w:noProof/>
        </w:rPr>
        <w:lastRenderedPageBreak/>
        <w:t xml:space="preserve">Gilbert, S. J., Spengler, S., Simons, J. S., Frith, C. D., &amp; Burgess, P. W. (2006). Differential functions of lateral and medial rostral prefrontal cortex (area 10) revealed by brain-behavior associations. </w:t>
      </w:r>
      <w:r w:rsidRPr="007A77EF">
        <w:rPr>
          <w:i/>
          <w:iCs/>
          <w:noProof/>
        </w:rPr>
        <w:t>Cerebral Cortex (New York, N.Y. : 1991)</w:t>
      </w:r>
      <w:r w:rsidRPr="007A77EF">
        <w:rPr>
          <w:noProof/>
        </w:rPr>
        <w:t xml:space="preserve">, </w:t>
      </w:r>
      <w:r w:rsidRPr="007A77EF">
        <w:rPr>
          <w:i/>
          <w:iCs/>
          <w:noProof/>
        </w:rPr>
        <w:t>16</w:t>
      </w:r>
      <w:r w:rsidRPr="007A77EF">
        <w:rPr>
          <w:noProof/>
        </w:rPr>
        <w:t>(12), 1783–9. doi:10.1093/cercor/bhj113</w:t>
      </w:r>
    </w:p>
    <w:p w14:paraId="03E6DE1B" w14:textId="29CDD48B" w:rsidR="000010A2" w:rsidRPr="007A77EF" w:rsidRDefault="000010A2">
      <w:pPr>
        <w:pStyle w:val="NormalWeb"/>
        <w:ind w:left="480" w:hanging="480"/>
        <w:divId w:val="1190794860"/>
        <w:rPr>
          <w:noProof/>
        </w:rPr>
      </w:pPr>
      <w:r w:rsidRPr="007A77EF">
        <w:rPr>
          <w:noProof/>
        </w:rPr>
        <w:t>Glotzbach, E., Muehlberger, A., Gschwendtner, K., Fallgatter, A. J., Pauli, P., &amp; Herrmann, M. J. (2010). Prefrontal Brain Activation During Emotional Processing: A Functional Near Infrared Spectroscopy Study (</w:t>
      </w:r>
      <w:r w:rsidR="00D42BF3" w:rsidRPr="007A77EF">
        <w:rPr>
          <w:noProof/>
        </w:rPr>
        <w:t>fNIRS</w:t>
      </w:r>
      <w:r w:rsidRPr="007A77EF">
        <w:rPr>
          <w:noProof/>
        </w:rPr>
        <w:t xml:space="preserve">). </w:t>
      </w:r>
      <w:r w:rsidRPr="007A77EF">
        <w:rPr>
          <w:i/>
          <w:iCs/>
          <w:noProof/>
        </w:rPr>
        <w:t>The Open Neuroimaging Journal</w:t>
      </w:r>
      <w:r w:rsidRPr="007A77EF">
        <w:rPr>
          <w:noProof/>
        </w:rPr>
        <w:t xml:space="preserve">, </w:t>
      </w:r>
      <w:r w:rsidRPr="007A77EF">
        <w:rPr>
          <w:i/>
          <w:iCs/>
          <w:noProof/>
        </w:rPr>
        <w:t>5</w:t>
      </w:r>
      <w:r w:rsidRPr="007A77EF">
        <w:rPr>
          <w:noProof/>
        </w:rPr>
        <w:t xml:space="preserve">, 33–39. </w:t>
      </w:r>
    </w:p>
    <w:p w14:paraId="4AE355D9" w14:textId="77777777" w:rsidR="000010A2" w:rsidRPr="007A77EF" w:rsidRDefault="000010A2">
      <w:pPr>
        <w:pStyle w:val="NormalWeb"/>
        <w:ind w:left="480" w:hanging="480"/>
        <w:divId w:val="1190794860"/>
        <w:rPr>
          <w:noProof/>
        </w:rPr>
      </w:pPr>
      <w:r w:rsidRPr="007A77EF">
        <w:rPr>
          <w:noProof/>
        </w:rPr>
        <w:t xml:space="preserve">Goldin, P. R., McRae, K., Ramel, W., &amp; Gross, J. J. (2008). The neural bases of emotion regulation: reappraisal and suppression of negative emotion. </w:t>
      </w:r>
      <w:r w:rsidRPr="007A77EF">
        <w:rPr>
          <w:i/>
          <w:iCs/>
          <w:noProof/>
        </w:rPr>
        <w:t>Biological Psychiatry</w:t>
      </w:r>
      <w:r w:rsidRPr="007A77EF">
        <w:rPr>
          <w:noProof/>
        </w:rPr>
        <w:t xml:space="preserve">, </w:t>
      </w:r>
      <w:r w:rsidRPr="007A77EF">
        <w:rPr>
          <w:i/>
          <w:iCs/>
          <w:noProof/>
        </w:rPr>
        <w:t>63</w:t>
      </w:r>
      <w:r w:rsidRPr="007A77EF">
        <w:rPr>
          <w:noProof/>
        </w:rPr>
        <w:t>(6), 577–86. doi:10.1016/j.biopsych.2007.05.031</w:t>
      </w:r>
    </w:p>
    <w:p w14:paraId="0E614DD6" w14:textId="77777777" w:rsidR="000010A2" w:rsidRPr="007A77EF" w:rsidRDefault="000010A2">
      <w:pPr>
        <w:pStyle w:val="NormalWeb"/>
        <w:ind w:left="480" w:hanging="480"/>
        <w:divId w:val="1190794860"/>
        <w:rPr>
          <w:noProof/>
        </w:rPr>
      </w:pPr>
      <w:r w:rsidRPr="007A77EF">
        <w:rPr>
          <w:noProof/>
        </w:rPr>
        <w:t xml:space="preserve">Hatfield, E., Cacioppo, J., &amp; Rapson, R. (1994). Emotional contagion. </w:t>
      </w:r>
      <w:r w:rsidRPr="007A77EF">
        <w:rPr>
          <w:i/>
          <w:iCs/>
          <w:noProof/>
        </w:rPr>
        <w:t>Current Directions in Psychological Science</w:t>
      </w:r>
      <w:r w:rsidRPr="007A77EF">
        <w:rPr>
          <w:noProof/>
        </w:rPr>
        <w:t xml:space="preserve">, </w:t>
      </w:r>
      <w:r w:rsidRPr="007A77EF">
        <w:rPr>
          <w:i/>
          <w:iCs/>
          <w:noProof/>
        </w:rPr>
        <w:t>2</w:t>
      </w:r>
      <w:r w:rsidRPr="007A77EF">
        <w:rPr>
          <w:noProof/>
        </w:rPr>
        <w:t>(3), 96–99. doi:10.1086/322897</w:t>
      </w:r>
    </w:p>
    <w:p w14:paraId="45F3C2B7" w14:textId="77777777" w:rsidR="000010A2" w:rsidRPr="007A77EF" w:rsidRDefault="000010A2">
      <w:pPr>
        <w:pStyle w:val="NormalWeb"/>
        <w:ind w:left="480" w:hanging="480"/>
        <w:divId w:val="1190794860"/>
        <w:rPr>
          <w:noProof/>
        </w:rPr>
      </w:pPr>
      <w:r w:rsidRPr="007A77EF">
        <w:rPr>
          <w:noProof/>
        </w:rPr>
        <w:t xml:space="preserve">Hoshi, Y. (2005). Functional near-infrared spectroscopy: potential and limitations in neuroimaging studies. </w:t>
      </w:r>
      <w:r w:rsidRPr="007A77EF">
        <w:rPr>
          <w:i/>
          <w:iCs/>
          <w:noProof/>
        </w:rPr>
        <w:t>International Review of Neurobiology</w:t>
      </w:r>
      <w:r w:rsidRPr="007A77EF">
        <w:rPr>
          <w:noProof/>
        </w:rPr>
        <w:t xml:space="preserve">, </w:t>
      </w:r>
      <w:r w:rsidRPr="007A77EF">
        <w:rPr>
          <w:i/>
          <w:iCs/>
          <w:noProof/>
        </w:rPr>
        <w:t>66</w:t>
      </w:r>
      <w:r w:rsidRPr="007A77EF">
        <w:rPr>
          <w:noProof/>
        </w:rPr>
        <w:t>(05), 237–66. doi:10.1016/S0074-7742(05)66008-4</w:t>
      </w:r>
    </w:p>
    <w:p w14:paraId="3381B442" w14:textId="585F8FF1" w:rsidR="000010A2" w:rsidRPr="007A77EF" w:rsidRDefault="000010A2">
      <w:pPr>
        <w:pStyle w:val="NormalWeb"/>
        <w:ind w:left="480" w:hanging="480"/>
        <w:divId w:val="1190794860"/>
        <w:rPr>
          <w:noProof/>
        </w:rPr>
      </w:pPr>
      <w:r w:rsidRPr="007A77EF">
        <w:rPr>
          <w:noProof/>
        </w:rPr>
        <w:t xml:space="preserve">Izzetoglu, M., Bunce, S. C., Izzetoglu, K., Onaral, B., &amp; Pourrezaei, K. (2007). Functional brain imaging using near-infrared technology. </w:t>
      </w:r>
      <w:r w:rsidRPr="007A77EF">
        <w:rPr>
          <w:i/>
          <w:iCs/>
          <w:noProof/>
        </w:rPr>
        <w:t>IEEE Engineering in Medicine and Biology Magazine : The Quarterly Magazine of the Engineering in Medicine &amp; Biology Society</w:t>
      </w:r>
      <w:r w:rsidRPr="007A77EF">
        <w:rPr>
          <w:noProof/>
        </w:rPr>
        <w:t xml:space="preserve">, </w:t>
      </w:r>
      <w:r w:rsidRPr="007A77EF">
        <w:rPr>
          <w:i/>
          <w:iCs/>
          <w:noProof/>
        </w:rPr>
        <w:t>26</w:t>
      </w:r>
      <w:r w:rsidRPr="007A77EF">
        <w:rPr>
          <w:noProof/>
        </w:rPr>
        <w:t xml:space="preserve">(4), 38–46. </w:t>
      </w:r>
    </w:p>
    <w:p w14:paraId="11ED1049" w14:textId="77777777" w:rsidR="000010A2" w:rsidRPr="007A77EF" w:rsidRDefault="000010A2">
      <w:pPr>
        <w:pStyle w:val="NormalWeb"/>
        <w:ind w:left="480" w:hanging="480"/>
        <w:divId w:val="1190794860"/>
        <w:rPr>
          <w:noProof/>
        </w:rPr>
      </w:pPr>
      <w:r w:rsidRPr="007A77EF">
        <w:rPr>
          <w:noProof/>
        </w:rPr>
        <w:t xml:space="preserve">Jenkins, L. M., Andrewes, D. G., Nicholas, C. L., Drummond, K. J., Moffat, B. A., Phal, P., … Kessels, R. P. C. (2014). Social cognition in patients following surgery to the prefrontal cortex. </w:t>
      </w:r>
      <w:r w:rsidRPr="007A77EF">
        <w:rPr>
          <w:i/>
          <w:iCs/>
          <w:noProof/>
        </w:rPr>
        <w:t>Psychiatry Research</w:t>
      </w:r>
      <w:r w:rsidRPr="007A77EF">
        <w:rPr>
          <w:noProof/>
        </w:rPr>
        <w:t xml:space="preserve">, </w:t>
      </w:r>
      <w:r w:rsidRPr="007A77EF">
        <w:rPr>
          <w:i/>
          <w:iCs/>
          <w:noProof/>
        </w:rPr>
        <w:t>224</w:t>
      </w:r>
      <w:r w:rsidRPr="007A77EF">
        <w:rPr>
          <w:noProof/>
        </w:rPr>
        <w:t>(3), 192–203. doi:10.1016/j.pscychresns.2014.08.007</w:t>
      </w:r>
    </w:p>
    <w:p w14:paraId="4E967EDC" w14:textId="77777777" w:rsidR="000010A2" w:rsidRPr="007A77EF" w:rsidRDefault="000010A2">
      <w:pPr>
        <w:pStyle w:val="NormalWeb"/>
        <w:ind w:left="480" w:hanging="480"/>
        <w:divId w:val="1190794860"/>
        <w:rPr>
          <w:noProof/>
        </w:rPr>
      </w:pPr>
      <w:r w:rsidRPr="007A77EF">
        <w:rPr>
          <w:noProof/>
        </w:rPr>
        <w:t xml:space="preserve">Kirk, U., Skov, M., Christensen, M. M. S., &amp; Nygaard, N. (2009). Brain correlates of aesthetic expertise: a parametric fMRI study. </w:t>
      </w:r>
      <w:r w:rsidRPr="007A77EF">
        <w:rPr>
          <w:i/>
          <w:iCs/>
          <w:noProof/>
        </w:rPr>
        <w:t>Brain and Cognition</w:t>
      </w:r>
      <w:r w:rsidRPr="007A77EF">
        <w:rPr>
          <w:noProof/>
        </w:rPr>
        <w:t xml:space="preserve">, </w:t>
      </w:r>
      <w:r w:rsidRPr="007A77EF">
        <w:rPr>
          <w:i/>
          <w:iCs/>
          <w:noProof/>
        </w:rPr>
        <w:t>69</w:t>
      </w:r>
      <w:r w:rsidRPr="007A77EF">
        <w:rPr>
          <w:noProof/>
        </w:rPr>
        <w:t>(2), 306–15. doi:10.1016/j.bandc.2008.08.004</w:t>
      </w:r>
    </w:p>
    <w:p w14:paraId="7E8D9C8E" w14:textId="77777777" w:rsidR="000010A2" w:rsidRPr="007A77EF" w:rsidRDefault="000010A2">
      <w:pPr>
        <w:pStyle w:val="NormalWeb"/>
        <w:ind w:left="480" w:hanging="480"/>
        <w:divId w:val="1190794860"/>
        <w:rPr>
          <w:noProof/>
        </w:rPr>
      </w:pPr>
      <w:r w:rsidRPr="007A77EF">
        <w:rPr>
          <w:noProof/>
        </w:rPr>
        <w:t xml:space="preserve">Kompus, K., Hugdahl, K., Ohman, A., Marklund, P., &amp; Nyberg, L. (2009). Distinct control networks for cognition and emotion in the prefrontal cortex. </w:t>
      </w:r>
      <w:r w:rsidRPr="007A77EF">
        <w:rPr>
          <w:i/>
          <w:iCs/>
          <w:noProof/>
        </w:rPr>
        <w:t>Neuroscience Letters</w:t>
      </w:r>
      <w:r w:rsidRPr="007A77EF">
        <w:rPr>
          <w:noProof/>
        </w:rPr>
        <w:t xml:space="preserve">, </w:t>
      </w:r>
      <w:r w:rsidRPr="007A77EF">
        <w:rPr>
          <w:i/>
          <w:iCs/>
          <w:noProof/>
        </w:rPr>
        <w:t>467</w:t>
      </w:r>
      <w:r w:rsidRPr="007A77EF">
        <w:rPr>
          <w:noProof/>
        </w:rPr>
        <w:t>(2), 76–80. doi:10.1016/j.neulet.2009.10.005</w:t>
      </w:r>
    </w:p>
    <w:p w14:paraId="19BBDD3D" w14:textId="43419685" w:rsidR="000010A2" w:rsidRPr="007A77EF" w:rsidRDefault="000010A2">
      <w:pPr>
        <w:pStyle w:val="NormalWeb"/>
        <w:ind w:left="480" w:hanging="480"/>
        <w:divId w:val="1190794860"/>
        <w:rPr>
          <w:noProof/>
        </w:rPr>
      </w:pPr>
      <w:r w:rsidRPr="007A77EF">
        <w:rPr>
          <w:noProof/>
        </w:rPr>
        <w:t xml:space="preserve">Kreplin, U., &amp; Fairclough, S. H. (2013). Activation of the rostromedial prefrontal cortex during the experience of positive emotion in the context of esthetic experience. An </w:t>
      </w:r>
      <w:r w:rsidR="00D42BF3" w:rsidRPr="007A77EF">
        <w:rPr>
          <w:noProof/>
        </w:rPr>
        <w:t>fNIRS</w:t>
      </w:r>
      <w:r w:rsidRPr="007A77EF">
        <w:rPr>
          <w:noProof/>
        </w:rPr>
        <w:t xml:space="preserve"> study. </w:t>
      </w:r>
      <w:r w:rsidRPr="007A77EF">
        <w:rPr>
          <w:i/>
          <w:iCs/>
          <w:noProof/>
        </w:rPr>
        <w:t>Frontiers in Human Neuroscience</w:t>
      </w:r>
      <w:r w:rsidRPr="007A77EF">
        <w:rPr>
          <w:noProof/>
        </w:rPr>
        <w:t xml:space="preserve">, </w:t>
      </w:r>
      <w:r w:rsidRPr="007A77EF">
        <w:rPr>
          <w:i/>
          <w:iCs/>
          <w:noProof/>
        </w:rPr>
        <w:t>7</w:t>
      </w:r>
      <w:r w:rsidRPr="007A77EF">
        <w:rPr>
          <w:noProof/>
        </w:rPr>
        <w:t>(December), 879. doi:10.3389/fnhum.2013.00879</w:t>
      </w:r>
    </w:p>
    <w:p w14:paraId="57232521" w14:textId="77777777" w:rsidR="000010A2" w:rsidRPr="007A77EF" w:rsidRDefault="000010A2">
      <w:pPr>
        <w:pStyle w:val="NormalWeb"/>
        <w:ind w:left="480" w:hanging="480"/>
        <w:divId w:val="1190794860"/>
        <w:rPr>
          <w:noProof/>
        </w:rPr>
      </w:pPr>
      <w:r w:rsidRPr="007A77EF">
        <w:rPr>
          <w:noProof/>
        </w:rPr>
        <w:t xml:space="preserve">Krienen, F. M., Tu, P.-C., &amp; Buckner, R. L. (2010). Clan mentality: evidence that the medial prefrontal cortex responds to close others. </w:t>
      </w:r>
      <w:r w:rsidRPr="007A77EF">
        <w:rPr>
          <w:i/>
          <w:iCs/>
          <w:noProof/>
        </w:rPr>
        <w:t>The Journal of Neuroscience : The Official Journal of the Society for Neuroscience</w:t>
      </w:r>
      <w:r w:rsidRPr="007A77EF">
        <w:rPr>
          <w:noProof/>
        </w:rPr>
        <w:t xml:space="preserve">, </w:t>
      </w:r>
      <w:r w:rsidRPr="007A77EF">
        <w:rPr>
          <w:i/>
          <w:iCs/>
          <w:noProof/>
        </w:rPr>
        <w:t>30</w:t>
      </w:r>
      <w:r w:rsidRPr="007A77EF">
        <w:rPr>
          <w:noProof/>
        </w:rPr>
        <w:t>(41), 13906–15. doi:10.1523/JNEUROSCI.2180-10.2010</w:t>
      </w:r>
    </w:p>
    <w:p w14:paraId="7A545720" w14:textId="77777777" w:rsidR="000010A2" w:rsidRPr="007A77EF" w:rsidRDefault="000010A2">
      <w:pPr>
        <w:pStyle w:val="NormalWeb"/>
        <w:ind w:left="480" w:hanging="480"/>
        <w:divId w:val="1190794860"/>
        <w:rPr>
          <w:noProof/>
        </w:rPr>
      </w:pPr>
      <w:r w:rsidRPr="007A77EF">
        <w:rPr>
          <w:noProof/>
        </w:rPr>
        <w:lastRenderedPageBreak/>
        <w:t xml:space="preserve">Leder, H. (2013). Next steps in neuroaesthetics: Which processes and processing stages to study? </w:t>
      </w:r>
      <w:r w:rsidRPr="007A77EF">
        <w:rPr>
          <w:i/>
          <w:iCs/>
          <w:noProof/>
        </w:rPr>
        <w:t>Psychology of Aesthetics, Creativity, and the Arts</w:t>
      </w:r>
      <w:r w:rsidRPr="007A77EF">
        <w:rPr>
          <w:noProof/>
        </w:rPr>
        <w:t xml:space="preserve">, </w:t>
      </w:r>
      <w:r w:rsidRPr="007A77EF">
        <w:rPr>
          <w:i/>
          <w:iCs/>
          <w:noProof/>
        </w:rPr>
        <w:t>7</w:t>
      </w:r>
      <w:r w:rsidRPr="007A77EF">
        <w:rPr>
          <w:noProof/>
        </w:rPr>
        <w:t>(1), 27–37. doi:10.1037/a0031585</w:t>
      </w:r>
    </w:p>
    <w:p w14:paraId="109F554C" w14:textId="77777777" w:rsidR="000010A2" w:rsidRPr="007A77EF" w:rsidRDefault="000010A2">
      <w:pPr>
        <w:pStyle w:val="NormalWeb"/>
        <w:ind w:left="480" w:hanging="480"/>
        <w:divId w:val="1190794860"/>
        <w:rPr>
          <w:noProof/>
        </w:rPr>
      </w:pPr>
      <w:r w:rsidRPr="007A77EF">
        <w:rPr>
          <w:noProof/>
        </w:rPr>
        <w:t xml:space="preserve">Leder, H., Belke, B., Oeberst, A., &amp; Augustin, D. (2004). A model of aesthetic appreciation and aesthetic judgments. </w:t>
      </w:r>
      <w:r w:rsidRPr="007A77EF">
        <w:rPr>
          <w:i/>
          <w:iCs/>
          <w:noProof/>
        </w:rPr>
        <w:t>British Journal of Psychology (London, England : 1953)</w:t>
      </w:r>
      <w:r w:rsidRPr="007A77EF">
        <w:rPr>
          <w:noProof/>
        </w:rPr>
        <w:t xml:space="preserve">, </w:t>
      </w:r>
      <w:r w:rsidRPr="007A77EF">
        <w:rPr>
          <w:i/>
          <w:iCs/>
          <w:noProof/>
        </w:rPr>
        <w:t>95</w:t>
      </w:r>
      <w:r w:rsidRPr="007A77EF">
        <w:rPr>
          <w:noProof/>
        </w:rPr>
        <w:t>(Pt 4), 489–508. doi:10.1348/0007126042369811</w:t>
      </w:r>
    </w:p>
    <w:p w14:paraId="4B980306" w14:textId="77777777" w:rsidR="000010A2" w:rsidRDefault="000010A2">
      <w:pPr>
        <w:pStyle w:val="NormalWeb"/>
        <w:ind w:left="480" w:hanging="480"/>
        <w:divId w:val="1190794860"/>
        <w:rPr>
          <w:noProof/>
        </w:rPr>
      </w:pPr>
      <w:r w:rsidRPr="007A77EF">
        <w:rPr>
          <w:noProof/>
        </w:rPr>
        <w:t xml:space="preserve">Lee, K. H., &amp; Siegle, G. J. (2012). Common and distinct brain networks underlying explicit emotional evaluation: a meta-analytic study. </w:t>
      </w:r>
      <w:r w:rsidRPr="007A77EF">
        <w:rPr>
          <w:i/>
          <w:iCs/>
          <w:noProof/>
        </w:rPr>
        <w:t>Social Cognitive and Affective Neuroscience</w:t>
      </w:r>
      <w:r w:rsidRPr="007A77EF">
        <w:rPr>
          <w:noProof/>
        </w:rPr>
        <w:t xml:space="preserve">, </w:t>
      </w:r>
      <w:r w:rsidRPr="007A77EF">
        <w:rPr>
          <w:i/>
          <w:iCs/>
          <w:noProof/>
        </w:rPr>
        <w:t>7</w:t>
      </w:r>
      <w:r w:rsidRPr="007A77EF">
        <w:rPr>
          <w:noProof/>
        </w:rPr>
        <w:t>(5), 521–34. doi:10.1093/scan/nsp001</w:t>
      </w:r>
    </w:p>
    <w:p w14:paraId="05534353" w14:textId="506F39C2" w:rsidR="00B71D2E" w:rsidRPr="00B71D2E" w:rsidRDefault="00B71D2E" w:rsidP="00B71D2E">
      <w:pPr>
        <w:pStyle w:val="NormalWeb"/>
        <w:ind w:left="480" w:hanging="480"/>
        <w:divId w:val="1190794860"/>
        <w:rPr>
          <w:rFonts w:ascii="Calibri" w:hAnsi="Calibri"/>
          <w:noProof/>
        </w:rPr>
      </w:pPr>
      <w:r w:rsidRPr="00570318">
        <w:rPr>
          <w:rFonts w:ascii="Calibri" w:hAnsi="Calibri"/>
          <w:noProof/>
        </w:rPr>
        <w:t xml:space="preserve">Leon-Carrion, J., Damas, J., Izzetoglu, K., Pourrezai, K., Martín-Rodríguez, J. F., Barroso y Martin, J. M., &amp; Dominguez-Morales, M. R. (2006). Differential time course and intensity of PFC activation for men and women in response to emotional stimuli: a functional near-infrared spectroscopy (fNIRS) study. </w:t>
      </w:r>
      <w:r w:rsidRPr="00570318">
        <w:rPr>
          <w:rFonts w:ascii="Calibri" w:hAnsi="Calibri"/>
          <w:i/>
          <w:iCs/>
          <w:noProof/>
        </w:rPr>
        <w:t>Neuroscience Letters</w:t>
      </w:r>
      <w:r w:rsidRPr="00570318">
        <w:rPr>
          <w:rFonts w:ascii="Calibri" w:hAnsi="Calibri"/>
          <w:noProof/>
        </w:rPr>
        <w:t xml:space="preserve">, </w:t>
      </w:r>
      <w:r w:rsidRPr="00570318">
        <w:rPr>
          <w:rFonts w:ascii="Calibri" w:hAnsi="Calibri"/>
          <w:i/>
          <w:iCs/>
          <w:noProof/>
        </w:rPr>
        <w:t>403</w:t>
      </w:r>
      <w:r w:rsidRPr="00570318">
        <w:rPr>
          <w:rFonts w:ascii="Calibri" w:hAnsi="Calibri"/>
          <w:noProof/>
        </w:rPr>
        <w:t>(1-2), 90–5. doi:10.1016/j.neulet.2006.04.050</w:t>
      </w:r>
    </w:p>
    <w:p w14:paraId="21B8E2C9" w14:textId="77777777" w:rsidR="000010A2" w:rsidRPr="007A77EF" w:rsidRDefault="000010A2">
      <w:pPr>
        <w:pStyle w:val="NormalWeb"/>
        <w:ind w:left="480" w:hanging="480"/>
        <w:divId w:val="1190794860"/>
        <w:rPr>
          <w:noProof/>
        </w:rPr>
      </w:pPr>
      <w:r w:rsidRPr="007A77EF">
        <w:rPr>
          <w:noProof/>
        </w:rPr>
        <w:t xml:space="preserve">León-Carrion, J., Damas-López, J., Martín-Rodríguez, J. F., Domínguez-Roldán, J. M., Murillo-Cabezas, F., Barroso Y Martin, J. M., &amp; Domínguez-Morales, M. R. (2008). The hemodynamics of cognitive control: the level of concentration of oxygenated hemoglobin in the superior prefrontal cortex varies as a function of performance in a modified Stroop task. </w:t>
      </w:r>
      <w:r w:rsidRPr="007A77EF">
        <w:rPr>
          <w:i/>
          <w:iCs/>
          <w:noProof/>
        </w:rPr>
        <w:t>Behavioural Brain Research</w:t>
      </w:r>
      <w:r w:rsidRPr="007A77EF">
        <w:rPr>
          <w:noProof/>
        </w:rPr>
        <w:t xml:space="preserve">, </w:t>
      </w:r>
      <w:r w:rsidRPr="007A77EF">
        <w:rPr>
          <w:i/>
          <w:iCs/>
          <w:noProof/>
        </w:rPr>
        <w:t>193</w:t>
      </w:r>
      <w:r w:rsidRPr="007A77EF">
        <w:rPr>
          <w:noProof/>
        </w:rPr>
        <w:t>(2), 248–56. doi:10.1016/j.bbr.2008.06.013</w:t>
      </w:r>
    </w:p>
    <w:p w14:paraId="4CE0F82F" w14:textId="77777777" w:rsidR="000010A2" w:rsidRPr="007A77EF" w:rsidRDefault="000010A2">
      <w:pPr>
        <w:pStyle w:val="NormalWeb"/>
        <w:ind w:left="480" w:hanging="480"/>
        <w:divId w:val="1190794860"/>
        <w:rPr>
          <w:noProof/>
        </w:rPr>
      </w:pPr>
      <w:r w:rsidRPr="007A77EF">
        <w:rPr>
          <w:noProof/>
        </w:rPr>
        <w:t xml:space="preserve">León-Carrión, J., Martín-Rodríguez, J. F., Damas-López, J., Pourrezai, K., Izzetoglu, K., Barroso y Martin, J. M., &amp; Domínguez-Morales, M. R. (2007). A lasting post-stimulus activation on dorsolateral prefrontal cortex is produced when processing valence and arousal in visual affective stimuli. </w:t>
      </w:r>
      <w:r w:rsidRPr="007A77EF">
        <w:rPr>
          <w:i/>
          <w:iCs/>
          <w:noProof/>
        </w:rPr>
        <w:t>Neuroscience Letters</w:t>
      </w:r>
      <w:r w:rsidRPr="007A77EF">
        <w:rPr>
          <w:noProof/>
        </w:rPr>
        <w:t xml:space="preserve">, </w:t>
      </w:r>
      <w:r w:rsidRPr="007A77EF">
        <w:rPr>
          <w:i/>
          <w:iCs/>
          <w:noProof/>
        </w:rPr>
        <w:t>422</w:t>
      </w:r>
      <w:r w:rsidRPr="007A77EF">
        <w:rPr>
          <w:noProof/>
        </w:rPr>
        <w:t>(3), 147–52. doi:10.1016/j.neulet.2007.04.087</w:t>
      </w:r>
    </w:p>
    <w:p w14:paraId="6D9E01A2" w14:textId="77777777" w:rsidR="000010A2" w:rsidRPr="007A77EF" w:rsidRDefault="000010A2">
      <w:pPr>
        <w:pStyle w:val="NormalWeb"/>
        <w:ind w:left="480" w:hanging="480"/>
        <w:divId w:val="1190794860"/>
        <w:rPr>
          <w:noProof/>
        </w:rPr>
      </w:pPr>
      <w:r w:rsidRPr="007A77EF">
        <w:rPr>
          <w:noProof/>
        </w:rPr>
        <w:t xml:space="preserve">Lewis, P. A., Rezaie, R., Brown, R., Roberts, N., &amp; Dunbar, R. I. M. (2011). Ventromedial prefrontal volume predicts understanding of others and social network size. </w:t>
      </w:r>
      <w:r w:rsidRPr="007A77EF">
        <w:rPr>
          <w:i/>
          <w:iCs/>
          <w:noProof/>
        </w:rPr>
        <w:t>NeuroImage</w:t>
      </w:r>
      <w:r w:rsidRPr="007A77EF">
        <w:rPr>
          <w:noProof/>
        </w:rPr>
        <w:t xml:space="preserve">, </w:t>
      </w:r>
      <w:r w:rsidRPr="007A77EF">
        <w:rPr>
          <w:i/>
          <w:iCs/>
          <w:noProof/>
        </w:rPr>
        <w:t>57</w:t>
      </w:r>
      <w:r w:rsidRPr="007A77EF">
        <w:rPr>
          <w:noProof/>
        </w:rPr>
        <w:t>(4), 1624–9. doi:10.1016/j.neuroimage.2011.05.030</w:t>
      </w:r>
    </w:p>
    <w:p w14:paraId="61B18688" w14:textId="77777777" w:rsidR="000010A2" w:rsidRPr="007A77EF" w:rsidRDefault="000010A2">
      <w:pPr>
        <w:pStyle w:val="NormalWeb"/>
        <w:ind w:left="480" w:hanging="480"/>
        <w:divId w:val="1190794860"/>
        <w:rPr>
          <w:noProof/>
        </w:rPr>
      </w:pPr>
      <w:r w:rsidRPr="007A77EF">
        <w:rPr>
          <w:noProof/>
        </w:rPr>
        <w:t xml:space="preserve">Mahy, C. E. V, Moses, L. J., &amp; Pfeifer, J. H. (2014). How and where: Theory-of-mind in the brain. </w:t>
      </w:r>
      <w:r w:rsidRPr="007A77EF">
        <w:rPr>
          <w:i/>
          <w:iCs/>
          <w:noProof/>
        </w:rPr>
        <w:t>Developmental Cognitive Neuroscience</w:t>
      </w:r>
      <w:r w:rsidRPr="007A77EF">
        <w:rPr>
          <w:noProof/>
        </w:rPr>
        <w:t xml:space="preserve">, </w:t>
      </w:r>
      <w:r w:rsidRPr="007A77EF">
        <w:rPr>
          <w:i/>
          <w:iCs/>
          <w:noProof/>
        </w:rPr>
        <w:t>9C</w:t>
      </w:r>
      <w:r w:rsidRPr="007A77EF">
        <w:rPr>
          <w:noProof/>
        </w:rPr>
        <w:t>, 68–81. doi:10.1016/j.dcn.2014.01.002</w:t>
      </w:r>
    </w:p>
    <w:p w14:paraId="7282F1C9" w14:textId="77777777" w:rsidR="000010A2" w:rsidRPr="007A77EF" w:rsidRDefault="000010A2">
      <w:pPr>
        <w:pStyle w:val="NormalWeb"/>
        <w:ind w:left="480" w:hanging="480"/>
        <w:divId w:val="1190794860"/>
        <w:rPr>
          <w:noProof/>
        </w:rPr>
      </w:pPr>
      <w:r w:rsidRPr="007A77EF">
        <w:rPr>
          <w:noProof/>
        </w:rPr>
        <w:t xml:space="preserve">Mitchell, D. G. V. (2011). The nexus between decision making and emotion regulation: a review of convergent neurocognitive substrates. </w:t>
      </w:r>
      <w:r w:rsidRPr="007A77EF">
        <w:rPr>
          <w:i/>
          <w:iCs/>
          <w:noProof/>
        </w:rPr>
        <w:t>Behavioural Brain Research</w:t>
      </w:r>
      <w:r w:rsidRPr="007A77EF">
        <w:rPr>
          <w:noProof/>
        </w:rPr>
        <w:t xml:space="preserve">, </w:t>
      </w:r>
      <w:r w:rsidRPr="007A77EF">
        <w:rPr>
          <w:i/>
          <w:iCs/>
          <w:noProof/>
        </w:rPr>
        <w:t>217</w:t>
      </w:r>
      <w:r w:rsidRPr="007A77EF">
        <w:rPr>
          <w:noProof/>
        </w:rPr>
        <w:t>(1), 215–31. doi:10.1016/j.bbr.2010.10.030</w:t>
      </w:r>
    </w:p>
    <w:p w14:paraId="248298D1" w14:textId="77777777" w:rsidR="000010A2" w:rsidRPr="007A77EF" w:rsidRDefault="000010A2">
      <w:pPr>
        <w:pStyle w:val="NormalWeb"/>
        <w:ind w:left="480" w:hanging="480"/>
        <w:divId w:val="1190794860"/>
        <w:rPr>
          <w:noProof/>
        </w:rPr>
      </w:pPr>
      <w:r w:rsidRPr="007A77EF">
        <w:rPr>
          <w:noProof/>
        </w:rPr>
        <w:t xml:space="preserve">Molnar-Szakacs, I., &amp; Uddin, L. Q. (2013). Self-Processing and the Default Mode Network: Interactions with the Mirror Neuron System. </w:t>
      </w:r>
      <w:r w:rsidRPr="007A77EF">
        <w:rPr>
          <w:i/>
          <w:iCs/>
          <w:noProof/>
        </w:rPr>
        <w:t>Frontiers in Human Neuroscience</w:t>
      </w:r>
      <w:r w:rsidRPr="007A77EF">
        <w:rPr>
          <w:noProof/>
        </w:rPr>
        <w:t xml:space="preserve">, </w:t>
      </w:r>
      <w:r w:rsidRPr="007A77EF">
        <w:rPr>
          <w:i/>
          <w:iCs/>
          <w:noProof/>
        </w:rPr>
        <w:t>7</w:t>
      </w:r>
      <w:r w:rsidRPr="007A77EF">
        <w:rPr>
          <w:noProof/>
        </w:rPr>
        <w:t>(September), 571. doi:10.3389/fnhum.2013.00571</w:t>
      </w:r>
    </w:p>
    <w:p w14:paraId="412D59E0" w14:textId="77777777" w:rsidR="000010A2" w:rsidRPr="007A77EF" w:rsidRDefault="000010A2">
      <w:pPr>
        <w:pStyle w:val="NormalWeb"/>
        <w:ind w:left="480" w:hanging="480"/>
        <w:divId w:val="1190794860"/>
        <w:rPr>
          <w:noProof/>
        </w:rPr>
      </w:pPr>
      <w:r w:rsidRPr="007A77EF">
        <w:rPr>
          <w:noProof/>
        </w:rPr>
        <w:t xml:space="preserve">Ochsner, K. N., &amp; Gross, J. J. (2005). The cognitive control of emotion. </w:t>
      </w:r>
      <w:r w:rsidRPr="007A77EF">
        <w:rPr>
          <w:i/>
          <w:iCs/>
          <w:noProof/>
        </w:rPr>
        <w:t>Trends in Cognitive Sciences</w:t>
      </w:r>
      <w:r w:rsidRPr="007A77EF">
        <w:rPr>
          <w:noProof/>
        </w:rPr>
        <w:t xml:space="preserve">, </w:t>
      </w:r>
      <w:r w:rsidRPr="007A77EF">
        <w:rPr>
          <w:i/>
          <w:iCs/>
          <w:noProof/>
        </w:rPr>
        <w:t>9</w:t>
      </w:r>
      <w:r w:rsidRPr="007A77EF">
        <w:rPr>
          <w:noProof/>
        </w:rPr>
        <w:t>(5), 242–9. doi:10.1016/j.tics.2005.03.010</w:t>
      </w:r>
    </w:p>
    <w:p w14:paraId="03DDB8F3" w14:textId="77777777" w:rsidR="000010A2" w:rsidRPr="007A77EF" w:rsidRDefault="000010A2">
      <w:pPr>
        <w:pStyle w:val="NormalWeb"/>
        <w:ind w:left="480" w:hanging="480"/>
        <w:divId w:val="1190794860"/>
        <w:rPr>
          <w:noProof/>
        </w:rPr>
      </w:pPr>
      <w:r w:rsidRPr="007A77EF">
        <w:rPr>
          <w:noProof/>
        </w:rPr>
        <w:lastRenderedPageBreak/>
        <w:t xml:space="preserve">Pelowski, M., &amp; Akiba, F. (2011). A model of art perception, evaluation and emotion in transformative aesthetic experience. </w:t>
      </w:r>
      <w:r w:rsidRPr="007A77EF">
        <w:rPr>
          <w:i/>
          <w:iCs/>
          <w:noProof/>
        </w:rPr>
        <w:t>New Ideas in Psychology</w:t>
      </w:r>
      <w:r w:rsidRPr="007A77EF">
        <w:rPr>
          <w:noProof/>
        </w:rPr>
        <w:t xml:space="preserve">, </w:t>
      </w:r>
      <w:r w:rsidRPr="007A77EF">
        <w:rPr>
          <w:i/>
          <w:iCs/>
          <w:noProof/>
        </w:rPr>
        <w:t>29</w:t>
      </w:r>
      <w:r w:rsidRPr="007A77EF">
        <w:rPr>
          <w:noProof/>
        </w:rPr>
        <w:t>(2), 80–97.</w:t>
      </w:r>
    </w:p>
    <w:p w14:paraId="6C0CFC32" w14:textId="77640426" w:rsidR="000010A2" w:rsidRPr="007A77EF" w:rsidRDefault="000010A2">
      <w:pPr>
        <w:pStyle w:val="NormalWeb"/>
        <w:ind w:left="480" w:hanging="480"/>
        <w:divId w:val="1190794860"/>
        <w:rPr>
          <w:noProof/>
        </w:rPr>
      </w:pPr>
      <w:r w:rsidRPr="007A77EF">
        <w:rPr>
          <w:noProof/>
        </w:rPr>
        <w:t>Plichta, M. M., Herrmann, M. J., Baehne, C. G., Ehlis, A.-C., Richter, M. M., Pauli, P., &amp; Fallgatter, A. J. (2006). Event-related functional near-infrared spectroscopy (</w:t>
      </w:r>
      <w:r w:rsidR="00D42BF3" w:rsidRPr="007A77EF">
        <w:rPr>
          <w:noProof/>
        </w:rPr>
        <w:t>fNIRS</w:t>
      </w:r>
      <w:r w:rsidRPr="007A77EF">
        <w:rPr>
          <w:noProof/>
        </w:rPr>
        <w:t xml:space="preserve">): are the measurements reliable? </w:t>
      </w:r>
      <w:r w:rsidRPr="007A77EF">
        <w:rPr>
          <w:i/>
          <w:iCs/>
          <w:noProof/>
        </w:rPr>
        <w:t>NeuroImage</w:t>
      </w:r>
      <w:r w:rsidRPr="007A77EF">
        <w:rPr>
          <w:noProof/>
        </w:rPr>
        <w:t xml:space="preserve">, </w:t>
      </w:r>
      <w:r w:rsidRPr="007A77EF">
        <w:rPr>
          <w:i/>
          <w:iCs/>
          <w:noProof/>
        </w:rPr>
        <w:t>31</w:t>
      </w:r>
      <w:r w:rsidRPr="007A77EF">
        <w:rPr>
          <w:noProof/>
        </w:rPr>
        <w:t>(1), 116–24. doi:10.1016/j.neuroimage.2005.12.008</w:t>
      </w:r>
    </w:p>
    <w:p w14:paraId="4933F3AA" w14:textId="77777777" w:rsidR="000010A2" w:rsidRPr="007A77EF" w:rsidRDefault="000010A2">
      <w:pPr>
        <w:pStyle w:val="NormalWeb"/>
        <w:ind w:left="480" w:hanging="480"/>
        <w:divId w:val="1190794860"/>
        <w:rPr>
          <w:noProof/>
        </w:rPr>
      </w:pPr>
      <w:r w:rsidRPr="007A77EF">
        <w:rPr>
          <w:noProof/>
        </w:rPr>
        <w:t xml:space="preserve">Scholkmann, F., Kleiser, S., Metz, A. J., Zimmermann, R., Mata Pavia, J., Wolf, U., &amp; Wolf, M. (2014). A review on continuous wave functional near-infrared spectroscopy and imaging instrumentation and methodology. </w:t>
      </w:r>
      <w:r w:rsidRPr="007A77EF">
        <w:rPr>
          <w:i/>
          <w:iCs/>
          <w:noProof/>
        </w:rPr>
        <w:t>NeuroImage</w:t>
      </w:r>
      <w:r w:rsidRPr="007A77EF">
        <w:rPr>
          <w:noProof/>
        </w:rPr>
        <w:t xml:space="preserve">, </w:t>
      </w:r>
      <w:r w:rsidRPr="007A77EF">
        <w:rPr>
          <w:i/>
          <w:iCs/>
          <w:noProof/>
        </w:rPr>
        <w:t>85 Pt 1</w:t>
      </w:r>
      <w:r w:rsidRPr="007A77EF">
        <w:rPr>
          <w:noProof/>
        </w:rPr>
        <w:t>, 6–27. doi:10.1016/j.neuroimage.2013.05.004</w:t>
      </w:r>
    </w:p>
    <w:p w14:paraId="69179101" w14:textId="2E0ECADD" w:rsidR="000010A2" w:rsidRPr="007A77EF" w:rsidRDefault="000010A2">
      <w:pPr>
        <w:pStyle w:val="NormalWeb"/>
        <w:ind w:left="480" w:hanging="480"/>
        <w:divId w:val="1190794860"/>
        <w:rPr>
          <w:noProof/>
        </w:rPr>
      </w:pPr>
      <w:r w:rsidRPr="007A77EF">
        <w:rPr>
          <w:noProof/>
        </w:rPr>
        <w:t xml:space="preserve">Silvia, P. (2012). Human emotions and aesthetic experience: An overview of empirical aesthetics. In A. Shimamura &amp; S. Palmer (Eds.), </w:t>
      </w:r>
      <w:r w:rsidRPr="007A77EF">
        <w:rPr>
          <w:i/>
          <w:iCs/>
          <w:noProof/>
        </w:rPr>
        <w:t>Aesthetic science: Connecting minds, brains, and experience.</w:t>
      </w:r>
      <w:r w:rsidRPr="007A77EF">
        <w:rPr>
          <w:noProof/>
        </w:rPr>
        <w:t xml:space="preserve"> (pp. 250–275).</w:t>
      </w:r>
      <w:r w:rsidR="00084123">
        <w:rPr>
          <w:noProof/>
        </w:rPr>
        <w:t xml:space="preserve"> Oxford University Press: Oxford.</w:t>
      </w:r>
      <w:r w:rsidRPr="007A77EF">
        <w:rPr>
          <w:noProof/>
        </w:rPr>
        <w:t xml:space="preserve"> </w:t>
      </w:r>
    </w:p>
    <w:p w14:paraId="4822C1CF" w14:textId="77777777" w:rsidR="000010A2" w:rsidRPr="007A77EF" w:rsidRDefault="000010A2">
      <w:pPr>
        <w:pStyle w:val="NormalWeb"/>
        <w:ind w:left="480" w:hanging="480"/>
        <w:divId w:val="1190794860"/>
        <w:rPr>
          <w:noProof/>
        </w:rPr>
      </w:pPr>
      <w:r w:rsidRPr="007A77EF">
        <w:rPr>
          <w:noProof/>
        </w:rPr>
        <w:t xml:space="preserve">Spreng, R. N., Sepulcre, J., Turner, G. R., Stevens, W. D., &amp; Schacter, D. L. (2013). Intrinsic architecture underlying the relations among the default, dorsal attention, and frontoparietal control networks of the human brain. </w:t>
      </w:r>
      <w:r w:rsidRPr="007A77EF">
        <w:rPr>
          <w:i/>
          <w:iCs/>
          <w:noProof/>
        </w:rPr>
        <w:t>Journal of Cognitive Neuroscience</w:t>
      </w:r>
      <w:r w:rsidRPr="007A77EF">
        <w:rPr>
          <w:noProof/>
        </w:rPr>
        <w:t xml:space="preserve">, </w:t>
      </w:r>
      <w:r w:rsidRPr="007A77EF">
        <w:rPr>
          <w:i/>
          <w:iCs/>
          <w:noProof/>
        </w:rPr>
        <w:t>25</w:t>
      </w:r>
      <w:r w:rsidRPr="007A77EF">
        <w:rPr>
          <w:noProof/>
        </w:rPr>
        <w:t>(1), 74–86. doi:10.1162/jocn_a_00281</w:t>
      </w:r>
    </w:p>
    <w:p w14:paraId="7871F1FF" w14:textId="77777777" w:rsidR="000010A2" w:rsidRPr="007A77EF" w:rsidRDefault="000010A2">
      <w:pPr>
        <w:pStyle w:val="NormalWeb"/>
        <w:ind w:left="480" w:hanging="480"/>
        <w:divId w:val="1190794860"/>
        <w:rPr>
          <w:noProof/>
        </w:rPr>
      </w:pPr>
      <w:r w:rsidRPr="007A77EF">
        <w:rPr>
          <w:noProof/>
        </w:rPr>
        <w:t xml:space="preserve">Thom, N. J., Johnson, D. C., Flagan, T., Simmons, A. N., Kotturi, S. A., Van Orden, K. F., … Paulus, M. P. (2014). Detecting emotion in others: Increased insula and decreased medial prefrontal cortex activation during emotion processing in elite adventure racers. </w:t>
      </w:r>
      <w:r w:rsidRPr="007A77EF">
        <w:rPr>
          <w:i/>
          <w:iCs/>
          <w:noProof/>
        </w:rPr>
        <w:t>Social Cognitive and Affective Neuroscience</w:t>
      </w:r>
      <w:r w:rsidRPr="007A77EF">
        <w:rPr>
          <w:noProof/>
        </w:rPr>
        <w:t xml:space="preserve">, </w:t>
      </w:r>
      <w:r w:rsidRPr="007A77EF">
        <w:rPr>
          <w:i/>
          <w:iCs/>
          <w:noProof/>
        </w:rPr>
        <w:t>9</w:t>
      </w:r>
      <w:r w:rsidRPr="007A77EF">
        <w:rPr>
          <w:noProof/>
        </w:rPr>
        <w:t>(2), 225–231.</w:t>
      </w:r>
    </w:p>
    <w:p w14:paraId="465DAEA2" w14:textId="77777777" w:rsidR="000010A2" w:rsidRPr="007A77EF" w:rsidRDefault="000010A2">
      <w:pPr>
        <w:pStyle w:val="NormalWeb"/>
        <w:ind w:left="480" w:hanging="480"/>
        <w:divId w:val="1190794860"/>
        <w:rPr>
          <w:noProof/>
        </w:rPr>
      </w:pPr>
      <w:r w:rsidRPr="007A77EF">
        <w:rPr>
          <w:noProof/>
        </w:rPr>
        <w:t xml:space="preserve">Vessel, E. A., Starr, G. G., &amp; Rubin, N. (2013). Art reaches within: aesthetic experience, the self and the default mode network. </w:t>
      </w:r>
      <w:r w:rsidRPr="007A77EF">
        <w:rPr>
          <w:i/>
          <w:iCs/>
          <w:noProof/>
        </w:rPr>
        <w:t>Frontiers in Neuroscience</w:t>
      </w:r>
      <w:r w:rsidRPr="007A77EF">
        <w:rPr>
          <w:noProof/>
        </w:rPr>
        <w:t xml:space="preserve">, </w:t>
      </w:r>
      <w:r w:rsidRPr="007A77EF">
        <w:rPr>
          <w:i/>
          <w:iCs/>
          <w:noProof/>
        </w:rPr>
        <w:t>7</w:t>
      </w:r>
      <w:r w:rsidRPr="007A77EF">
        <w:rPr>
          <w:noProof/>
        </w:rPr>
        <w:t>(December), 258. doi:10.3389/fnins.2013.00258</w:t>
      </w:r>
    </w:p>
    <w:p w14:paraId="13016561" w14:textId="77777777" w:rsidR="000010A2" w:rsidRPr="007A77EF" w:rsidRDefault="000010A2">
      <w:pPr>
        <w:pStyle w:val="NormalWeb"/>
        <w:ind w:left="480" w:hanging="480"/>
        <w:divId w:val="1190794860"/>
        <w:rPr>
          <w:noProof/>
        </w:rPr>
      </w:pPr>
      <w:r w:rsidRPr="007A77EF">
        <w:rPr>
          <w:noProof/>
        </w:rPr>
        <w:t xml:space="preserve">Vessel, E., Starr, G. G., &amp; Rubin, N. (2012). The brain on art: intense aesthetic experience activates the default mode network. </w:t>
      </w:r>
      <w:r w:rsidRPr="007A77EF">
        <w:rPr>
          <w:i/>
          <w:iCs/>
          <w:noProof/>
        </w:rPr>
        <w:t>Frontiers in Human Neuroscience</w:t>
      </w:r>
      <w:r w:rsidRPr="007A77EF">
        <w:rPr>
          <w:noProof/>
        </w:rPr>
        <w:t xml:space="preserve">, </w:t>
      </w:r>
      <w:r w:rsidRPr="007A77EF">
        <w:rPr>
          <w:i/>
          <w:iCs/>
          <w:noProof/>
        </w:rPr>
        <w:t>6</w:t>
      </w:r>
      <w:r w:rsidRPr="007A77EF">
        <w:rPr>
          <w:noProof/>
        </w:rPr>
        <w:t>(April), 66. doi:10.3389/fnhum.2012.00066</w:t>
      </w:r>
    </w:p>
    <w:p w14:paraId="379AFCA0" w14:textId="77777777" w:rsidR="000010A2" w:rsidRPr="007A77EF" w:rsidRDefault="000010A2">
      <w:pPr>
        <w:pStyle w:val="NormalWeb"/>
        <w:ind w:left="480" w:hanging="480"/>
        <w:divId w:val="1190794860"/>
        <w:rPr>
          <w:noProof/>
        </w:rPr>
      </w:pPr>
      <w:r w:rsidRPr="007A77EF">
        <w:rPr>
          <w:noProof/>
        </w:rPr>
        <w:t xml:space="preserve">Viviani, R., Lo, H., Sim, E., &amp; Beschoner, P. (2010). The neural substrate of positive bias in spontaneous emotional processing. </w:t>
      </w:r>
      <w:r w:rsidRPr="007A77EF">
        <w:rPr>
          <w:i/>
          <w:iCs/>
          <w:noProof/>
        </w:rPr>
        <w:t>PLoS One</w:t>
      </w:r>
      <w:r w:rsidRPr="007A77EF">
        <w:rPr>
          <w:noProof/>
        </w:rPr>
        <w:t xml:space="preserve">, </w:t>
      </w:r>
      <w:r w:rsidRPr="007A77EF">
        <w:rPr>
          <w:i/>
          <w:iCs/>
          <w:noProof/>
        </w:rPr>
        <w:t>5</w:t>
      </w:r>
      <w:r w:rsidRPr="007A77EF">
        <w:rPr>
          <w:noProof/>
        </w:rPr>
        <w:t>(11), 1–9. doi:10.1371/journal.pone.0015454</w:t>
      </w:r>
    </w:p>
    <w:p w14:paraId="4FDA5D6A" w14:textId="77777777" w:rsidR="000010A2" w:rsidRPr="007A77EF" w:rsidRDefault="000010A2">
      <w:pPr>
        <w:pStyle w:val="NormalWeb"/>
        <w:ind w:left="480" w:hanging="480"/>
        <w:divId w:val="1190794860"/>
        <w:rPr>
          <w:noProof/>
        </w:rPr>
      </w:pPr>
      <w:r w:rsidRPr="007A77EF">
        <w:rPr>
          <w:noProof/>
        </w:rPr>
        <w:t xml:space="preserve">Völlm, B. A., Taylor, A. N. W., Richardson, P., Corcoran, R., Stirling, J., McKie, S., … Elliott, R. (2006). Neuronal correlates of theory of mind and empathy: a functional magnetic resonance imaging study in a nonverbal task. </w:t>
      </w:r>
      <w:r w:rsidRPr="007A77EF">
        <w:rPr>
          <w:i/>
          <w:iCs/>
          <w:noProof/>
        </w:rPr>
        <w:t>NeuroImage</w:t>
      </w:r>
      <w:r w:rsidRPr="007A77EF">
        <w:rPr>
          <w:noProof/>
        </w:rPr>
        <w:t xml:space="preserve">, </w:t>
      </w:r>
      <w:r w:rsidRPr="007A77EF">
        <w:rPr>
          <w:i/>
          <w:iCs/>
          <w:noProof/>
        </w:rPr>
        <w:t>29</w:t>
      </w:r>
      <w:r w:rsidRPr="007A77EF">
        <w:rPr>
          <w:noProof/>
        </w:rPr>
        <w:t>(1), 90–8. doi:10.1016/j.neuroimage.2005.07.022</w:t>
      </w:r>
    </w:p>
    <w:p w14:paraId="073E9CCE" w14:textId="77777777" w:rsidR="000010A2" w:rsidRPr="007A77EF" w:rsidRDefault="000010A2">
      <w:pPr>
        <w:pStyle w:val="NormalWeb"/>
        <w:ind w:left="480" w:hanging="480"/>
        <w:divId w:val="1190794860"/>
        <w:rPr>
          <w:noProof/>
        </w:rPr>
      </w:pPr>
      <w:r w:rsidRPr="007A77EF">
        <w:rPr>
          <w:noProof/>
        </w:rPr>
        <w:t xml:space="preserve">Wobst, P., Wenzel, R., Kohl, M., Obrig, H., &amp; Villringer, a. (2001). Linear aspects of changes in deoxygenated hemoglobin concentration and cytochrome oxidase oxidation during brain activation. </w:t>
      </w:r>
      <w:r w:rsidRPr="007A77EF">
        <w:rPr>
          <w:i/>
          <w:iCs/>
          <w:noProof/>
        </w:rPr>
        <w:t>NeuroImage</w:t>
      </w:r>
      <w:r w:rsidRPr="007A77EF">
        <w:rPr>
          <w:noProof/>
        </w:rPr>
        <w:t xml:space="preserve">, </w:t>
      </w:r>
      <w:r w:rsidRPr="007A77EF">
        <w:rPr>
          <w:i/>
          <w:iCs/>
          <w:noProof/>
        </w:rPr>
        <w:t>13</w:t>
      </w:r>
      <w:r w:rsidRPr="007A77EF">
        <w:rPr>
          <w:noProof/>
        </w:rPr>
        <w:t>(3), 520–30. doi:10.1006/nimg.2000.0706</w:t>
      </w:r>
    </w:p>
    <w:p w14:paraId="08123087" w14:textId="77777777" w:rsidR="000010A2" w:rsidRPr="007A77EF" w:rsidRDefault="000010A2">
      <w:pPr>
        <w:pStyle w:val="NormalWeb"/>
        <w:ind w:left="480" w:hanging="480"/>
        <w:divId w:val="1190794860"/>
        <w:rPr>
          <w:noProof/>
        </w:rPr>
      </w:pPr>
      <w:r w:rsidRPr="007A77EF">
        <w:rPr>
          <w:noProof/>
        </w:rPr>
        <w:t xml:space="preserve">Zink, C. F., Stein, J. L., Kempf, L., Hakimi, S., &amp; Meyer-Lindenberg, A. (2010). Vasopressin modulates medial prefrontal cortex-amygdala circuitry during emotion processing in </w:t>
      </w:r>
      <w:r w:rsidRPr="007A77EF">
        <w:rPr>
          <w:noProof/>
        </w:rPr>
        <w:lastRenderedPageBreak/>
        <w:t xml:space="preserve">humans. </w:t>
      </w:r>
      <w:r w:rsidRPr="007A77EF">
        <w:rPr>
          <w:i/>
          <w:iCs/>
          <w:noProof/>
        </w:rPr>
        <w:t>The Journal of Neuroscience : The Official Journal of the Society for Neuroscience</w:t>
      </w:r>
      <w:r w:rsidRPr="007A77EF">
        <w:rPr>
          <w:noProof/>
        </w:rPr>
        <w:t xml:space="preserve">, </w:t>
      </w:r>
      <w:r w:rsidRPr="007A77EF">
        <w:rPr>
          <w:i/>
          <w:iCs/>
          <w:noProof/>
        </w:rPr>
        <w:t>30</w:t>
      </w:r>
      <w:r w:rsidRPr="007A77EF">
        <w:rPr>
          <w:noProof/>
        </w:rPr>
        <w:t>(20), 7017–7022.</w:t>
      </w:r>
    </w:p>
    <w:p w14:paraId="12FDC40C" w14:textId="5E12D615" w:rsidR="00BA7A80" w:rsidRPr="007A77EF" w:rsidRDefault="00BA7A80" w:rsidP="0077243D">
      <w:pPr>
        <w:pStyle w:val="NormalWeb"/>
        <w:ind w:left="480" w:hanging="480"/>
        <w:divId w:val="1898318460"/>
      </w:pPr>
      <w:r w:rsidRPr="007A77EF">
        <w:fldChar w:fldCharType="end"/>
      </w:r>
    </w:p>
    <w:sectPr w:rsidR="00BA7A80" w:rsidRPr="007A77EF" w:rsidSect="003249F4">
      <w:headerReference w:type="default" r:id="rId16"/>
      <w:footerReference w:type="default" r:id="rId17"/>
      <w:pgSz w:w="11900" w:h="16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9DD4A" w14:textId="77777777" w:rsidR="0074585A" w:rsidRDefault="0074585A">
      <w:r>
        <w:separator/>
      </w:r>
    </w:p>
  </w:endnote>
  <w:endnote w:type="continuationSeparator" w:id="0">
    <w:p w14:paraId="265B36D0" w14:textId="77777777" w:rsidR="0074585A" w:rsidRDefault="00745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62C8B" w14:textId="77777777" w:rsidR="007B5793" w:rsidRDefault="007B5793">
    <w:pPr>
      <w:pStyle w:val="HeaderFooterA"/>
      <w:tabs>
        <w:tab w:val="clear" w:pos="9020"/>
        <w:tab w:val="right" w:pos="9000"/>
      </w:tabs>
      <w:jc w:val="right"/>
    </w:pPr>
    <w:r>
      <w:fldChar w:fldCharType="begin"/>
    </w:r>
    <w:r>
      <w:instrText xml:space="preserve"> PAGE </w:instrText>
    </w:r>
    <w:r>
      <w:fldChar w:fldCharType="separate"/>
    </w:r>
    <w:r w:rsidR="00DF4AF9">
      <w:rPr>
        <w:noProof/>
      </w:rPr>
      <w:t>27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E6011" w14:textId="77777777" w:rsidR="0074585A" w:rsidRDefault="0074585A">
      <w:r>
        <w:separator/>
      </w:r>
    </w:p>
  </w:footnote>
  <w:footnote w:type="continuationSeparator" w:id="0">
    <w:p w14:paraId="38006B3B" w14:textId="77777777" w:rsidR="0074585A" w:rsidRDefault="007458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6BA1E" w14:textId="77777777" w:rsidR="007B5793" w:rsidRDefault="007B5793">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62344"/>
    <w:multiLevelType w:val="hybridMultilevel"/>
    <w:tmpl w:val="07E8B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48E"/>
    <w:rsid w:val="000010A2"/>
    <w:rsid w:val="00001630"/>
    <w:rsid w:val="00002AB3"/>
    <w:rsid w:val="0000451A"/>
    <w:rsid w:val="00015B9A"/>
    <w:rsid w:val="00016768"/>
    <w:rsid w:val="0002028B"/>
    <w:rsid w:val="000273F3"/>
    <w:rsid w:val="00034E19"/>
    <w:rsid w:val="00040D5F"/>
    <w:rsid w:val="000465C1"/>
    <w:rsid w:val="000469F5"/>
    <w:rsid w:val="000548FC"/>
    <w:rsid w:val="00055C8C"/>
    <w:rsid w:val="000561A2"/>
    <w:rsid w:val="000666B6"/>
    <w:rsid w:val="0007578E"/>
    <w:rsid w:val="00084123"/>
    <w:rsid w:val="000876F7"/>
    <w:rsid w:val="0009663C"/>
    <w:rsid w:val="000A30C7"/>
    <w:rsid w:val="000A3FCF"/>
    <w:rsid w:val="000A4986"/>
    <w:rsid w:val="000C06E2"/>
    <w:rsid w:val="000C7071"/>
    <w:rsid w:val="000C71E5"/>
    <w:rsid w:val="000D1CFA"/>
    <w:rsid w:val="000D2F34"/>
    <w:rsid w:val="000E3F5E"/>
    <w:rsid w:val="000F4CFA"/>
    <w:rsid w:val="00100958"/>
    <w:rsid w:val="00110775"/>
    <w:rsid w:val="0011345C"/>
    <w:rsid w:val="00156409"/>
    <w:rsid w:val="00164713"/>
    <w:rsid w:val="0016715C"/>
    <w:rsid w:val="00170D46"/>
    <w:rsid w:val="0018689C"/>
    <w:rsid w:val="00187AA8"/>
    <w:rsid w:val="0019342D"/>
    <w:rsid w:val="00193613"/>
    <w:rsid w:val="0019484F"/>
    <w:rsid w:val="00195BEB"/>
    <w:rsid w:val="001D689F"/>
    <w:rsid w:val="001E1EB6"/>
    <w:rsid w:val="001E2D1D"/>
    <w:rsid w:val="001E6175"/>
    <w:rsid w:val="001F4AA8"/>
    <w:rsid w:val="001F79FC"/>
    <w:rsid w:val="00211A63"/>
    <w:rsid w:val="00217F9D"/>
    <w:rsid w:val="00222696"/>
    <w:rsid w:val="00223D53"/>
    <w:rsid w:val="00230F35"/>
    <w:rsid w:val="00232D61"/>
    <w:rsid w:val="0024791B"/>
    <w:rsid w:val="00247A5B"/>
    <w:rsid w:val="002507D2"/>
    <w:rsid w:val="00266115"/>
    <w:rsid w:val="00276012"/>
    <w:rsid w:val="00277278"/>
    <w:rsid w:val="0029639F"/>
    <w:rsid w:val="002A12F0"/>
    <w:rsid w:val="002A168A"/>
    <w:rsid w:val="002A515F"/>
    <w:rsid w:val="002A5B33"/>
    <w:rsid w:val="002A5C0C"/>
    <w:rsid w:val="002A5C29"/>
    <w:rsid w:val="002B10F6"/>
    <w:rsid w:val="002B12B3"/>
    <w:rsid w:val="002B1862"/>
    <w:rsid w:val="002B734D"/>
    <w:rsid w:val="002C345D"/>
    <w:rsid w:val="002C69A9"/>
    <w:rsid w:val="002E6653"/>
    <w:rsid w:val="002E7C52"/>
    <w:rsid w:val="00300CBD"/>
    <w:rsid w:val="00302562"/>
    <w:rsid w:val="00305606"/>
    <w:rsid w:val="00311ACB"/>
    <w:rsid w:val="00314059"/>
    <w:rsid w:val="00314C48"/>
    <w:rsid w:val="00320D49"/>
    <w:rsid w:val="0032121A"/>
    <w:rsid w:val="003245CB"/>
    <w:rsid w:val="003249F4"/>
    <w:rsid w:val="0032738B"/>
    <w:rsid w:val="00341B4A"/>
    <w:rsid w:val="00344986"/>
    <w:rsid w:val="00345365"/>
    <w:rsid w:val="00351ECA"/>
    <w:rsid w:val="00351F20"/>
    <w:rsid w:val="0035252E"/>
    <w:rsid w:val="00376B84"/>
    <w:rsid w:val="00376C66"/>
    <w:rsid w:val="00376C7E"/>
    <w:rsid w:val="00381249"/>
    <w:rsid w:val="00382A95"/>
    <w:rsid w:val="00385CA4"/>
    <w:rsid w:val="003A0596"/>
    <w:rsid w:val="003A10FB"/>
    <w:rsid w:val="003A4E4D"/>
    <w:rsid w:val="003B5088"/>
    <w:rsid w:val="003C2858"/>
    <w:rsid w:val="003D0C64"/>
    <w:rsid w:val="003D17C2"/>
    <w:rsid w:val="003D1B9A"/>
    <w:rsid w:val="003D68C0"/>
    <w:rsid w:val="003D6D08"/>
    <w:rsid w:val="003E6EF9"/>
    <w:rsid w:val="003F015B"/>
    <w:rsid w:val="003F4FDA"/>
    <w:rsid w:val="003F65E7"/>
    <w:rsid w:val="003F7742"/>
    <w:rsid w:val="00406900"/>
    <w:rsid w:val="0041172F"/>
    <w:rsid w:val="0041405F"/>
    <w:rsid w:val="00416428"/>
    <w:rsid w:val="004317FA"/>
    <w:rsid w:val="00444411"/>
    <w:rsid w:val="004505E9"/>
    <w:rsid w:val="004565A5"/>
    <w:rsid w:val="00460909"/>
    <w:rsid w:val="00461049"/>
    <w:rsid w:val="00463ABB"/>
    <w:rsid w:val="00465ED1"/>
    <w:rsid w:val="00466E35"/>
    <w:rsid w:val="004726F3"/>
    <w:rsid w:val="00484388"/>
    <w:rsid w:val="00493A85"/>
    <w:rsid w:val="004A33B1"/>
    <w:rsid w:val="004B48DB"/>
    <w:rsid w:val="004C1E5C"/>
    <w:rsid w:val="004C21B3"/>
    <w:rsid w:val="004C2843"/>
    <w:rsid w:val="004C2C01"/>
    <w:rsid w:val="004C34BB"/>
    <w:rsid w:val="004C43D6"/>
    <w:rsid w:val="004C5C94"/>
    <w:rsid w:val="004D129A"/>
    <w:rsid w:val="004D1CCC"/>
    <w:rsid w:val="004D38DF"/>
    <w:rsid w:val="004D5A37"/>
    <w:rsid w:val="004D5E44"/>
    <w:rsid w:val="004D64D7"/>
    <w:rsid w:val="004E40B1"/>
    <w:rsid w:val="004F23F6"/>
    <w:rsid w:val="004F42D8"/>
    <w:rsid w:val="004F4820"/>
    <w:rsid w:val="004F494A"/>
    <w:rsid w:val="004F58A4"/>
    <w:rsid w:val="004F5A6C"/>
    <w:rsid w:val="004F6C61"/>
    <w:rsid w:val="004F7713"/>
    <w:rsid w:val="005009E8"/>
    <w:rsid w:val="005178C9"/>
    <w:rsid w:val="005243AE"/>
    <w:rsid w:val="00525317"/>
    <w:rsid w:val="005260EA"/>
    <w:rsid w:val="0053496A"/>
    <w:rsid w:val="00535389"/>
    <w:rsid w:val="00553084"/>
    <w:rsid w:val="00557EB0"/>
    <w:rsid w:val="0056635C"/>
    <w:rsid w:val="00571A26"/>
    <w:rsid w:val="00591C63"/>
    <w:rsid w:val="005A6272"/>
    <w:rsid w:val="005B3D9F"/>
    <w:rsid w:val="005C44B8"/>
    <w:rsid w:val="005C53F7"/>
    <w:rsid w:val="005C65DD"/>
    <w:rsid w:val="005D273B"/>
    <w:rsid w:val="005D7326"/>
    <w:rsid w:val="005E060E"/>
    <w:rsid w:val="005E556E"/>
    <w:rsid w:val="005F7311"/>
    <w:rsid w:val="0060114A"/>
    <w:rsid w:val="00606C2E"/>
    <w:rsid w:val="00611772"/>
    <w:rsid w:val="006159B1"/>
    <w:rsid w:val="00616D36"/>
    <w:rsid w:val="00623CED"/>
    <w:rsid w:val="00626E14"/>
    <w:rsid w:val="00636428"/>
    <w:rsid w:val="00663842"/>
    <w:rsid w:val="0067569E"/>
    <w:rsid w:val="006802DD"/>
    <w:rsid w:val="00681910"/>
    <w:rsid w:val="00685001"/>
    <w:rsid w:val="00687D7A"/>
    <w:rsid w:val="00696006"/>
    <w:rsid w:val="006A000C"/>
    <w:rsid w:val="006A7E57"/>
    <w:rsid w:val="006B5874"/>
    <w:rsid w:val="006B5883"/>
    <w:rsid w:val="006D1ABE"/>
    <w:rsid w:val="006D689A"/>
    <w:rsid w:val="007132E1"/>
    <w:rsid w:val="0073652B"/>
    <w:rsid w:val="007379FA"/>
    <w:rsid w:val="0074585A"/>
    <w:rsid w:val="00754F61"/>
    <w:rsid w:val="007611C8"/>
    <w:rsid w:val="007632E3"/>
    <w:rsid w:val="0076453D"/>
    <w:rsid w:val="00765D78"/>
    <w:rsid w:val="0077243D"/>
    <w:rsid w:val="00775CC6"/>
    <w:rsid w:val="0078096F"/>
    <w:rsid w:val="007857C2"/>
    <w:rsid w:val="007916E0"/>
    <w:rsid w:val="007951B7"/>
    <w:rsid w:val="007A5546"/>
    <w:rsid w:val="007A77EF"/>
    <w:rsid w:val="007B5793"/>
    <w:rsid w:val="007C23FE"/>
    <w:rsid w:val="007D00D8"/>
    <w:rsid w:val="007D0B01"/>
    <w:rsid w:val="007D6469"/>
    <w:rsid w:val="007F14DF"/>
    <w:rsid w:val="007F27FD"/>
    <w:rsid w:val="007F40E6"/>
    <w:rsid w:val="007F7AC9"/>
    <w:rsid w:val="00805F03"/>
    <w:rsid w:val="00811426"/>
    <w:rsid w:val="00815F91"/>
    <w:rsid w:val="00822805"/>
    <w:rsid w:val="00823552"/>
    <w:rsid w:val="008307C7"/>
    <w:rsid w:val="0083366B"/>
    <w:rsid w:val="00834D53"/>
    <w:rsid w:val="00851549"/>
    <w:rsid w:val="00856951"/>
    <w:rsid w:val="008655DE"/>
    <w:rsid w:val="00885813"/>
    <w:rsid w:val="00885BFC"/>
    <w:rsid w:val="00892AFD"/>
    <w:rsid w:val="008A3562"/>
    <w:rsid w:val="008A4956"/>
    <w:rsid w:val="008B35E8"/>
    <w:rsid w:val="008B485A"/>
    <w:rsid w:val="008B75E9"/>
    <w:rsid w:val="008E6B5C"/>
    <w:rsid w:val="008F1E67"/>
    <w:rsid w:val="008F2385"/>
    <w:rsid w:val="008F586E"/>
    <w:rsid w:val="008F69B5"/>
    <w:rsid w:val="00901AFB"/>
    <w:rsid w:val="00912EA4"/>
    <w:rsid w:val="0091325D"/>
    <w:rsid w:val="00925563"/>
    <w:rsid w:val="00931A75"/>
    <w:rsid w:val="00941D29"/>
    <w:rsid w:val="009438B1"/>
    <w:rsid w:val="009451E4"/>
    <w:rsid w:val="00945D18"/>
    <w:rsid w:val="00946414"/>
    <w:rsid w:val="00946AFC"/>
    <w:rsid w:val="0095084A"/>
    <w:rsid w:val="00956E1B"/>
    <w:rsid w:val="00956FF0"/>
    <w:rsid w:val="009626A6"/>
    <w:rsid w:val="00962EEF"/>
    <w:rsid w:val="00965919"/>
    <w:rsid w:val="009778E9"/>
    <w:rsid w:val="009A4E80"/>
    <w:rsid w:val="009B3297"/>
    <w:rsid w:val="009B4AA6"/>
    <w:rsid w:val="009C0AE7"/>
    <w:rsid w:val="009C1C81"/>
    <w:rsid w:val="009C5EDC"/>
    <w:rsid w:val="009D21CC"/>
    <w:rsid w:val="009D67B9"/>
    <w:rsid w:val="009D71C5"/>
    <w:rsid w:val="009F3395"/>
    <w:rsid w:val="009F504B"/>
    <w:rsid w:val="00A00B89"/>
    <w:rsid w:val="00A055B4"/>
    <w:rsid w:val="00A336B0"/>
    <w:rsid w:val="00A36DDE"/>
    <w:rsid w:val="00A4375E"/>
    <w:rsid w:val="00A459FA"/>
    <w:rsid w:val="00A5244D"/>
    <w:rsid w:val="00A54037"/>
    <w:rsid w:val="00A55673"/>
    <w:rsid w:val="00A56785"/>
    <w:rsid w:val="00A60FB4"/>
    <w:rsid w:val="00A718B3"/>
    <w:rsid w:val="00A76847"/>
    <w:rsid w:val="00A80920"/>
    <w:rsid w:val="00A921E2"/>
    <w:rsid w:val="00AB2410"/>
    <w:rsid w:val="00AC2839"/>
    <w:rsid w:val="00AD4E22"/>
    <w:rsid w:val="00AE3682"/>
    <w:rsid w:val="00AE377D"/>
    <w:rsid w:val="00AE4277"/>
    <w:rsid w:val="00AF1D57"/>
    <w:rsid w:val="00B12F62"/>
    <w:rsid w:val="00B13A71"/>
    <w:rsid w:val="00B14463"/>
    <w:rsid w:val="00B21199"/>
    <w:rsid w:val="00B31EC8"/>
    <w:rsid w:val="00B3242D"/>
    <w:rsid w:val="00B35B9A"/>
    <w:rsid w:val="00B50FB9"/>
    <w:rsid w:val="00B55202"/>
    <w:rsid w:val="00B55860"/>
    <w:rsid w:val="00B57899"/>
    <w:rsid w:val="00B63916"/>
    <w:rsid w:val="00B71D2E"/>
    <w:rsid w:val="00B75595"/>
    <w:rsid w:val="00B77EDA"/>
    <w:rsid w:val="00B814C0"/>
    <w:rsid w:val="00B85A2B"/>
    <w:rsid w:val="00B93EE2"/>
    <w:rsid w:val="00B9742F"/>
    <w:rsid w:val="00BA3404"/>
    <w:rsid w:val="00BA69BB"/>
    <w:rsid w:val="00BA7A80"/>
    <w:rsid w:val="00BB165A"/>
    <w:rsid w:val="00BC5534"/>
    <w:rsid w:val="00BD4BC1"/>
    <w:rsid w:val="00BE2EAA"/>
    <w:rsid w:val="00BE429C"/>
    <w:rsid w:val="00BE4859"/>
    <w:rsid w:val="00BF281E"/>
    <w:rsid w:val="00BF34CA"/>
    <w:rsid w:val="00C02320"/>
    <w:rsid w:val="00C16A68"/>
    <w:rsid w:val="00C23D33"/>
    <w:rsid w:val="00C26F40"/>
    <w:rsid w:val="00C33EE0"/>
    <w:rsid w:val="00C355AD"/>
    <w:rsid w:val="00C43A5F"/>
    <w:rsid w:val="00C46609"/>
    <w:rsid w:val="00C55FA3"/>
    <w:rsid w:val="00C83D39"/>
    <w:rsid w:val="00C8548E"/>
    <w:rsid w:val="00CA1DCD"/>
    <w:rsid w:val="00CA3DCB"/>
    <w:rsid w:val="00CA46EA"/>
    <w:rsid w:val="00CB2B4E"/>
    <w:rsid w:val="00CB6343"/>
    <w:rsid w:val="00CC1CDA"/>
    <w:rsid w:val="00CC33B3"/>
    <w:rsid w:val="00CC5C36"/>
    <w:rsid w:val="00CD4563"/>
    <w:rsid w:val="00CD75CC"/>
    <w:rsid w:val="00D25DAB"/>
    <w:rsid w:val="00D34D72"/>
    <w:rsid w:val="00D42BF3"/>
    <w:rsid w:val="00D432C7"/>
    <w:rsid w:val="00D43560"/>
    <w:rsid w:val="00D437B0"/>
    <w:rsid w:val="00D47334"/>
    <w:rsid w:val="00D53498"/>
    <w:rsid w:val="00D6004E"/>
    <w:rsid w:val="00D62CB6"/>
    <w:rsid w:val="00D75D32"/>
    <w:rsid w:val="00D81862"/>
    <w:rsid w:val="00D9079B"/>
    <w:rsid w:val="00D97118"/>
    <w:rsid w:val="00DA4739"/>
    <w:rsid w:val="00DA6910"/>
    <w:rsid w:val="00DA731B"/>
    <w:rsid w:val="00DB0265"/>
    <w:rsid w:val="00DC1B7F"/>
    <w:rsid w:val="00DC2322"/>
    <w:rsid w:val="00DC3179"/>
    <w:rsid w:val="00DC7224"/>
    <w:rsid w:val="00DC7FB8"/>
    <w:rsid w:val="00DD7179"/>
    <w:rsid w:val="00DE6400"/>
    <w:rsid w:val="00DF30C1"/>
    <w:rsid w:val="00DF4AF9"/>
    <w:rsid w:val="00DF6B9D"/>
    <w:rsid w:val="00E00C72"/>
    <w:rsid w:val="00E02BC2"/>
    <w:rsid w:val="00E03ABF"/>
    <w:rsid w:val="00E227FB"/>
    <w:rsid w:val="00E31891"/>
    <w:rsid w:val="00E54780"/>
    <w:rsid w:val="00E66D7E"/>
    <w:rsid w:val="00E718FB"/>
    <w:rsid w:val="00E72498"/>
    <w:rsid w:val="00E73977"/>
    <w:rsid w:val="00E73CBC"/>
    <w:rsid w:val="00EA3B0E"/>
    <w:rsid w:val="00EA5C27"/>
    <w:rsid w:val="00EB5502"/>
    <w:rsid w:val="00EB5651"/>
    <w:rsid w:val="00EB78A8"/>
    <w:rsid w:val="00EC23BC"/>
    <w:rsid w:val="00EC4F86"/>
    <w:rsid w:val="00EC60BD"/>
    <w:rsid w:val="00ED5580"/>
    <w:rsid w:val="00ED7DCD"/>
    <w:rsid w:val="00EE0770"/>
    <w:rsid w:val="00EF2E70"/>
    <w:rsid w:val="00EF5B60"/>
    <w:rsid w:val="00F0017A"/>
    <w:rsid w:val="00F1455B"/>
    <w:rsid w:val="00F176F8"/>
    <w:rsid w:val="00F32B4F"/>
    <w:rsid w:val="00F44936"/>
    <w:rsid w:val="00F658B8"/>
    <w:rsid w:val="00F71107"/>
    <w:rsid w:val="00F74B73"/>
    <w:rsid w:val="00F81EE4"/>
    <w:rsid w:val="00F83416"/>
    <w:rsid w:val="00F9149E"/>
    <w:rsid w:val="00FB76AD"/>
    <w:rsid w:val="00FC57EC"/>
    <w:rsid w:val="00FC590B"/>
    <w:rsid w:val="00FD316C"/>
    <w:rsid w:val="00FD5175"/>
    <w:rsid w:val="00FD615D"/>
    <w:rsid w:val="00FD62B2"/>
    <w:rsid w:val="00FD79EF"/>
    <w:rsid w:val="00FE73F4"/>
    <w:rsid w:val="00FF1B58"/>
    <w:rsid w:val="00FF566B"/>
    <w:rsid w:val="00FF5D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278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HeaderFooterA">
    <w:name w:val="Header &amp; Footer A"/>
    <w:pPr>
      <w:tabs>
        <w:tab w:val="right" w:pos="9020"/>
      </w:tabs>
    </w:pPr>
    <w:rPr>
      <w:rFonts w:ascii="Helvetica" w:hAnsi="Arial Unicode MS" w:cs="Arial Unicode MS"/>
      <w:color w:val="000000"/>
      <w:sz w:val="24"/>
      <w:szCs w:val="24"/>
      <w:u w:color="000000"/>
      <w:lang w:val="en-US"/>
    </w:rPr>
  </w:style>
  <w:style w:type="paragraph" w:customStyle="1" w:styleId="BodyA">
    <w:name w:val="Body A"/>
    <w:rPr>
      <w:rFonts w:hAnsi="Arial Unicode MS" w:cs="Arial Unicode MS"/>
      <w:color w:val="000000"/>
      <w:sz w:val="24"/>
      <w:szCs w:val="24"/>
      <w:u w:color="000000"/>
      <w:lang w:val="en-US"/>
    </w:rPr>
  </w:style>
  <w:style w:type="paragraph" w:customStyle="1" w:styleId="BodyAA">
    <w:name w:val="Body A A"/>
    <w:rPr>
      <w:rFonts w:hAnsi="Arial Unicode MS" w:cs="Arial Unicode MS"/>
      <w:color w:val="000000"/>
      <w:sz w:val="24"/>
      <w:szCs w:val="24"/>
      <w:u w:color="000000"/>
      <w:lang w:val="de-DE"/>
    </w:rPr>
  </w:style>
  <w:style w:type="character" w:customStyle="1" w:styleId="Link">
    <w:name w:val="Link"/>
    <w:rPr>
      <w:u w:val="single"/>
    </w:rPr>
  </w:style>
  <w:style w:type="character" w:customStyle="1" w:styleId="Hyperlink0">
    <w:name w:val="Hyperlink.0"/>
    <w:basedOn w:val="Link"/>
    <w:rPr>
      <w:u w:val="single"/>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F7AC9"/>
    <w:rPr>
      <w:rFonts w:ascii="Tahoma" w:hAnsi="Tahoma" w:cs="Tahoma"/>
      <w:sz w:val="16"/>
      <w:szCs w:val="16"/>
    </w:rPr>
  </w:style>
  <w:style w:type="character" w:customStyle="1" w:styleId="BalloonTextChar">
    <w:name w:val="Balloon Text Char"/>
    <w:basedOn w:val="DefaultParagraphFont"/>
    <w:link w:val="BalloonText"/>
    <w:uiPriority w:val="99"/>
    <w:semiHidden/>
    <w:rsid w:val="007F7AC9"/>
    <w:rPr>
      <w:rFonts w:ascii="Tahoma" w:hAnsi="Tahoma" w:cs="Tahoma"/>
      <w:sz w:val="16"/>
      <w:szCs w:val="16"/>
      <w:lang w:val="en-US" w:eastAsia="en-US"/>
    </w:rPr>
  </w:style>
  <w:style w:type="paragraph" w:styleId="NormalWeb">
    <w:name w:val="Normal (Web)"/>
    <w:basedOn w:val="Normal"/>
    <w:uiPriority w:val="99"/>
    <w:unhideWhenUsed/>
    <w:rsid w:val="00BA7A8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en-GB"/>
    </w:rPr>
  </w:style>
  <w:style w:type="character" w:styleId="LineNumber">
    <w:name w:val="line number"/>
    <w:basedOn w:val="DefaultParagraphFont"/>
    <w:uiPriority w:val="99"/>
    <w:semiHidden/>
    <w:unhideWhenUsed/>
    <w:rsid w:val="0083366B"/>
  </w:style>
  <w:style w:type="paragraph" w:styleId="CommentSubject">
    <w:name w:val="annotation subject"/>
    <w:basedOn w:val="CommentText"/>
    <w:next w:val="CommentText"/>
    <w:link w:val="CommentSubjectChar"/>
    <w:uiPriority w:val="99"/>
    <w:semiHidden/>
    <w:unhideWhenUsed/>
    <w:rsid w:val="008A3562"/>
    <w:rPr>
      <w:b/>
      <w:bCs/>
    </w:rPr>
  </w:style>
  <w:style w:type="character" w:customStyle="1" w:styleId="CommentSubjectChar">
    <w:name w:val="Comment Subject Char"/>
    <w:basedOn w:val="CommentTextChar"/>
    <w:link w:val="CommentSubject"/>
    <w:uiPriority w:val="99"/>
    <w:semiHidden/>
    <w:rsid w:val="008A3562"/>
    <w:rPr>
      <w:b/>
      <w:bCs/>
      <w:lang w:val="en-US" w:eastAsia="en-US"/>
    </w:rPr>
  </w:style>
  <w:style w:type="paragraph" w:styleId="Revision">
    <w:name w:val="Revision"/>
    <w:hidden/>
    <w:uiPriority w:val="99"/>
    <w:semiHidden/>
    <w:rsid w:val="00E3189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HeaderFooterA">
    <w:name w:val="Header &amp; Footer A"/>
    <w:pPr>
      <w:tabs>
        <w:tab w:val="right" w:pos="9020"/>
      </w:tabs>
    </w:pPr>
    <w:rPr>
      <w:rFonts w:ascii="Helvetica" w:hAnsi="Arial Unicode MS" w:cs="Arial Unicode MS"/>
      <w:color w:val="000000"/>
      <w:sz w:val="24"/>
      <w:szCs w:val="24"/>
      <w:u w:color="000000"/>
      <w:lang w:val="en-US"/>
    </w:rPr>
  </w:style>
  <w:style w:type="paragraph" w:customStyle="1" w:styleId="BodyA">
    <w:name w:val="Body A"/>
    <w:rPr>
      <w:rFonts w:hAnsi="Arial Unicode MS" w:cs="Arial Unicode MS"/>
      <w:color w:val="000000"/>
      <w:sz w:val="24"/>
      <w:szCs w:val="24"/>
      <w:u w:color="000000"/>
      <w:lang w:val="en-US"/>
    </w:rPr>
  </w:style>
  <w:style w:type="paragraph" w:customStyle="1" w:styleId="BodyAA">
    <w:name w:val="Body A A"/>
    <w:rPr>
      <w:rFonts w:hAnsi="Arial Unicode MS" w:cs="Arial Unicode MS"/>
      <w:color w:val="000000"/>
      <w:sz w:val="24"/>
      <w:szCs w:val="24"/>
      <w:u w:color="000000"/>
      <w:lang w:val="de-DE"/>
    </w:rPr>
  </w:style>
  <w:style w:type="character" w:customStyle="1" w:styleId="Link">
    <w:name w:val="Link"/>
    <w:rPr>
      <w:u w:val="single"/>
    </w:rPr>
  </w:style>
  <w:style w:type="character" w:customStyle="1" w:styleId="Hyperlink0">
    <w:name w:val="Hyperlink.0"/>
    <w:basedOn w:val="Link"/>
    <w:rPr>
      <w:u w:val="single"/>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F7AC9"/>
    <w:rPr>
      <w:rFonts w:ascii="Tahoma" w:hAnsi="Tahoma" w:cs="Tahoma"/>
      <w:sz w:val="16"/>
      <w:szCs w:val="16"/>
    </w:rPr>
  </w:style>
  <w:style w:type="character" w:customStyle="1" w:styleId="BalloonTextChar">
    <w:name w:val="Balloon Text Char"/>
    <w:basedOn w:val="DefaultParagraphFont"/>
    <w:link w:val="BalloonText"/>
    <w:uiPriority w:val="99"/>
    <w:semiHidden/>
    <w:rsid w:val="007F7AC9"/>
    <w:rPr>
      <w:rFonts w:ascii="Tahoma" w:hAnsi="Tahoma" w:cs="Tahoma"/>
      <w:sz w:val="16"/>
      <w:szCs w:val="16"/>
      <w:lang w:val="en-US" w:eastAsia="en-US"/>
    </w:rPr>
  </w:style>
  <w:style w:type="paragraph" w:styleId="NormalWeb">
    <w:name w:val="Normal (Web)"/>
    <w:basedOn w:val="Normal"/>
    <w:uiPriority w:val="99"/>
    <w:unhideWhenUsed/>
    <w:rsid w:val="00BA7A8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en-GB"/>
    </w:rPr>
  </w:style>
  <w:style w:type="character" w:styleId="LineNumber">
    <w:name w:val="line number"/>
    <w:basedOn w:val="DefaultParagraphFont"/>
    <w:uiPriority w:val="99"/>
    <w:semiHidden/>
    <w:unhideWhenUsed/>
    <w:rsid w:val="0083366B"/>
  </w:style>
  <w:style w:type="paragraph" w:styleId="CommentSubject">
    <w:name w:val="annotation subject"/>
    <w:basedOn w:val="CommentText"/>
    <w:next w:val="CommentText"/>
    <w:link w:val="CommentSubjectChar"/>
    <w:uiPriority w:val="99"/>
    <w:semiHidden/>
    <w:unhideWhenUsed/>
    <w:rsid w:val="008A3562"/>
    <w:rPr>
      <w:b/>
      <w:bCs/>
    </w:rPr>
  </w:style>
  <w:style w:type="character" w:customStyle="1" w:styleId="CommentSubjectChar">
    <w:name w:val="Comment Subject Char"/>
    <w:basedOn w:val="CommentTextChar"/>
    <w:link w:val="CommentSubject"/>
    <w:uiPriority w:val="99"/>
    <w:semiHidden/>
    <w:rsid w:val="008A3562"/>
    <w:rPr>
      <w:b/>
      <w:bCs/>
      <w:lang w:val="en-US" w:eastAsia="en-US"/>
    </w:rPr>
  </w:style>
  <w:style w:type="paragraph" w:styleId="Revision">
    <w:name w:val="Revision"/>
    <w:hidden/>
    <w:uiPriority w:val="99"/>
    <w:semiHidden/>
    <w:rsid w:val="00E3189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92780">
      <w:bodyDiv w:val="1"/>
      <w:marLeft w:val="0"/>
      <w:marRight w:val="0"/>
      <w:marTop w:val="0"/>
      <w:marBottom w:val="0"/>
      <w:divBdr>
        <w:top w:val="none" w:sz="0" w:space="0" w:color="auto"/>
        <w:left w:val="none" w:sz="0" w:space="0" w:color="auto"/>
        <w:bottom w:val="none" w:sz="0" w:space="0" w:color="auto"/>
        <w:right w:val="none" w:sz="0" w:space="0" w:color="auto"/>
      </w:divBdr>
    </w:div>
    <w:div w:id="601256196">
      <w:bodyDiv w:val="1"/>
      <w:marLeft w:val="0"/>
      <w:marRight w:val="0"/>
      <w:marTop w:val="0"/>
      <w:marBottom w:val="0"/>
      <w:divBdr>
        <w:top w:val="none" w:sz="0" w:space="0" w:color="auto"/>
        <w:left w:val="none" w:sz="0" w:space="0" w:color="auto"/>
        <w:bottom w:val="none" w:sz="0" w:space="0" w:color="auto"/>
        <w:right w:val="none" w:sz="0" w:space="0" w:color="auto"/>
      </w:divBdr>
    </w:div>
    <w:div w:id="671684297">
      <w:bodyDiv w:val="1"/>
      <w:marLeft w:val="0"/>
      <w:marRight w:val="0"/>
      <w:marTop w:val="0"/>
      <w:marBottom w:val="0"/>
      <w:divBdr>
        <w:top w:val="none" w:sz="0" w:space="0" w:color="auto"/>
        <w:left w:val="none" w:sz="0" w:space="0" w:color="auto"/>
        <w:bottom w:val="none" w:sz="0" w:space="0" w:color="auto"/>
        <w:right w:val="none" w:sz="0" w:space="0" w:color="auto"/>
      </w:divBdr>
    </w:div>
    <w:div w:id="1238057644">
      <w:bodyDiv w:val="1"/>
      <w:marLeft w:val="0"/>
      <w:marRight w:val="0"/>
      <w:marTop w:val="0"/>
      <w:marBottom w:val="0"/>
      <w:divBdr>
        <w:top w:val="none" w:sz="0" w:space="0" w:color="auto"/>
        <w:left w:val="none" w:sz="0" w:space="0" w:color="auto"/>
        <w:bottom w:val="none" w:sz="0" w:space="0" w:color="auto"/>
        <w:right w:val="none" w:sz="0" w:space="0" w:color="auto"/>
      </w:divBdr>
    </w:div>
    <w:div w:id="1418939048">
      <w:bodyDiv w:val="1"/>
      <w:marLeft w:val="0"/>
      <w:marRight w:val="0"/>
      <w:marTop w:val="0"/>
      <w:marBottom w:val="0"/>
      <w:divBdr>
        <w:top w:val="none" w:sz="0" w:space="0" w:color="auto"/>
        <w:left w:val="none" w:sz="0" w:space="0" w:color="auto"/>
        <w:bottom w:val="none" w:sz="0" w:space="0" w:color="auto"/>
        <w:right w:val="none" w:sz="0" w:space="0" w:color="auto"/>
      </w:divBdr>
    </w:div>
    <w:div w:id="1423525584">
      <w:bodyDiv w:val="1"/>
      <w:marLeft w:val="0"/>
      <w:marRight w:val="0"/>
      <w:marTop w:val="0"/>
      <w:marBottom w:val="0"/>
      <w:divBdr>
        <w:top w:val="none" w:sz="0" w:space="0" w:color="auto"/>
        <w:left w:val="none" w:sz="0" w:space="0" w:color="auto"/>
        <w:bottom w:val="none" w:sz="0" w:space="0" w:color="auto"/>
        <w:right w:val="none" w:sz="0" w:space="0" w:color="auto"/>
      </w:divBdr>
    </w:div>
    <w:div w:id="1460150277">
      <w:bodyDiv w:val="1"/>
      <w:marLeft w:val="0"/>
      <w:marRight w:val="0"/>
      <w:marTop w:val="0"/>
      <w:marBottom w:val="0"/>
      <w:divBdr>
        <w:top w:val="none" w:sz="0" w:space="0" w:color="auto"/>
        <w:left w:val="none" w:sz="0" w:space="0" w:color="auto"/>
        <w:bottom w:val="none" w:sz="0" w:space="0" w:color="auto"/>
        <w:right w:val="none" w:sz="0" w:space="0" w:color="auto"/>
      </w:divBdr>
    </w:div>
    <w:div w:id="1671567380">
      <w:bodyDiv w:val="1"/>
      <w:marLeft w:val="0"/>
      <w:marRight w:val="0"/>
      <w:marTop w:val="0"/>
      <w:marBottom w:val="0"/>
      <w:divBdr>
        <w:top w:val="none" w:sz="0" w:space="0" w:color="auto"/>
        <w:left w:val="none" w:sz="0" w:space="0" w:color="auto"/>
        <w:bottom w:val="none" w:sz="0" w:space="0" w:color="auto"/>
        <w:right w:val="none" w:sz="0" w:space="0" w:color="auto"/>
      </w:divBdr>
    </w:div>
    <w:div w:id="1712026953">
      <w:bodyDiv w:val="1"/>
      <w:marLeft w:val="0"/>
      <w:marRight w:val="0"/>
      <w:marTop w:val="0"/>
      <w:marBottom w:val="0"/>
      <w:divBdr>
        <w:top w:val="none" w:sz="0" w:space="0" w:color="auto"/>
        <w:left w:val="none" w:sz="0" w:space="0" w:color="auto"/>
        <w:bottom w:val="none" w:sz="0" w:space="0" w:color="auto"/>
        <w:right w:val="none" w:sz="0" w:space="0" w:color="auto"/>
      </w:divBdr>
      <w:divsChild>
        <w:div w:id="1282877634">
          <w:marLeft w:val="0"/>
          <w:marRight w:val="0"/>
          <w:marTop w:val="0"/>
          <w:marBottom w:val="0"/>
          <w:divBdr>
            <w:top w:val="none" w:sz="0" w:space="0" w:color="auto"/>
            <w:left w:val="none" w:sz="0" w:space="0" w:color="auto"/>
            <w:bottom w:val="none" w:sz="0" w:space="0" w:color="auto"/>
            <w:right w:val="none" w:sz="0" w:space="0" w:color="auto"/>
          </w:divBdr>
          <w:divsChild>
            <w:div w:id="1372611981">
              <w:marLeft w:val="0"/>
              <w:marRight w:val="0"/>
              <w:marTop w:val="0"/>
              <w:marBottom w:val="0"/>
              <w:divBdr>
                <w:top w:val="none" w:sz="0" w:space="0" w:color="auto"/>
                <w:left w:val="none" w:sz="0" w:space="0" w:color="auto"/>
                <w:bottom w:val="none" w:sz="0" w:space="0" w:color="auto"/>
                <w:right w:val="none" w:sz="0" w:space="0" w:color="auto"/>
              </w:divBdr>
              <w:divsChild>
                <w:div w:id="187649399">
                  <w:marLeft w:val="0"/>
                  <w:marRight w:val="0"/>
                  <w:marTop w:val="0"/>
                  <w:marBottom w:val="0"/>
                  <w:divBdr>
                    <w:top w:val="none" w:sz="0" w:space="0" w:color="auto"/>
                    <w:left w:val="none" w:sz="0" w:space="0" w:color="auto"/>
                    <w:bottom w:val="none" w:sz="0" w:space="0" w:color="auto"/>
                    <w:right w:val="none" w:sz="0" w:space="0" w:color="auto"/>
                  </w:divBdr>
                  <w:divsChild>
                    <w:div w:id="1229878028">
                      <w:marLeft w:val="0"/>
                      <w:marRight w:val="0"/>
                      <w:marTop w:val="0"/>
                      <w:marBottom w:val="0"/>
                      <w:divBdr>
                        <w:top w:val="none" w:sz="0" w:space="0" w:color="auto"/>
                        <w:left w:val="none" w:sz="0" w:space="0" w:color="auto"/>
                        <w:bottom w:val="none" w:sz="0" w:space="0" w:color="auto"/>
                        <w:right w:val="none" w:sz="0" w:space="0" w:color="auto"/>
                      </w:divBdr>
                      <w:divsChild>
                        <w:div w:id="590159371">
                          <w:marLeft w:val="0"/>
                          <w:marRight w:val="0"/>
                          <w:marTop w:val="0"/>
                          <w:marBottom w:val="0"/>
                          <w:divBdr>
                            <w:top w:val="none" w:sz="0" w:space="0" w:color="auto"/>
                            <w:left w:val="none" w:sz="0" w:space="0" w:color="auto"/>
                            <w:bottom w:val="none" w:sz="0" w:space="0" w:color="auto"/>
                            <w:right w:val="none" w:sz="0" w:space="0" w:color="auto"/>
                          </w:divBdr>
                          <w:divsChild>
                            <w:div w:id="1241869641">
                              <w:marLeft w:val="0"/>
                              <w:marRight w:val="0"/>
                              <w:marTop w:val="0"/>
                              <w:marBottom w:val="0"/>
                              <w:divBdr>
                                <w:top w:val="none" w:sz="0" w:space="0" w:color="auto"/>
                                <w:left w:val="none" w:sz="0" w:space="0" w:color="auto"/>
                                <w:bottom w:val="none" w:sz="0" w:space="0" w:color="auto"/>
                                <w:right w:val="none" w:sz="0" w:space="0" w:color="auto"/>
                              </w:divBdr>
                              <w:divsChild>
                                <w:div w:id="568809201">
                                  <w:marLeft w:val="0"/>
                                  <w:marRight w:val="0"/>
                                  <w:marTop w:val="0"/>
                                  <w:marBottom w:val="0"/>
                                  <w:divBdr>
                                    <w:top w:val="none" w:sz="0" w:space="0" w:color="auto"/>
                                    <w:left w:val="none" w:sz="0" w:space="0" w:color="auto"/>
                                    <w:bottom w:val="none" w:sz="0" w:space="0" w:color="auto"/>
                                    <w:right w:val="none" w:sz="0" w:space="0" w:color="auto"/>
                                  </w:divBdr>
                                  <w:divsChild>
                                    <w:div w:id="636374010">
                                      <w:marLeft w:val="0"/>
                                      <w:marRight w:val="0"/>
                                      <w:marTop w:val="0"/>
                                      <w:marBottom w:val="0"/>
                                      <w:divBdr>
                                        <w:top w:val="none" w:sz="0" w:space="0" w:color="auto"/>
                                        <w:left w:val="none" w:sz="0" w:space="0" w:color="auto"/>
                                        <w:bottom w:val="none" w:sz="0" w:space="0" w:color="auto"/>
                                        <w:right w:val="none" w:sz="0" w:space="0" w:color="auto"/>
                                      </w:divBdr>
                                      <w:divsChild>
                                        <w:div w:id="830097150">
                                          <w:marLeft w:val="0"/>
                                          <w:marRight w:val="0"/>
                                          <w:marTop w:val="0"/>
                                          <w:marBottom w:val="0"/>
                                          <w:divBdr>
                                            <w:top w:val="none" w:sz="0" w:space="0" w:color="auto"/>
                                            <w:left w:val="none" w:sz="0" w:space="0" w:color="auto"/>
                                            <w:bottom w:val="none" w:sz="0" w:space="0" w:color="auto"/>
                                            <w:right w:val="none" w:sz="0" w:space="0" w:color="auto"/>
                                          </w:divBdr>
                                          <w:divsChild>
                                            <w:div w:id="1048650448">
                                              <w:marLeft w:val="0"/>
                                              <w:marRight w:val="0"/>
                                              <w:marTop w:val="0"/>
                                              <w:marBottom w:val="0"/>
                                              <w:divBdr>
                                                <w:top w:val="none" w:sz="0" w:space="0" w:color="auto"/>
                                                <w:left w:val="none" w:sz="0" w:space="0" w:color="auto"/>
                                                <w:bottom w:val="none" w:sz="0" w:space="0" w:color="auto"/>
                                                <w:right w:val="none" w:sz="0" w:space="0" w:color="auto"/>
                                              </w:divBdr>
                                              <w:divsChild>
                                                <w:div w:id="1629312038">
                                                  <w:marLeft w:val="0"/>
                                                  <w:marRight w:val="0"/>
                                                  <w:marTop w:val="0"/>
                                                  <w:marBottom w:val="0"/>
                                                  <w:divBdr>
                                                    <w:top w:val="none" w:sz="0" w:space="0" w:color="auto"/>
                                                    <w:left w:val="none" w:sz="0" w:space="0" w:color="auto"/>
                                                    <w:bottom w:val="none" w:sz="0" w:space="0" w:color="auto"/>
                                                    <w:right w:val="none" w:sz="0" w:space="0" w:color="auto"/>
                                                  </w:divBdr>
                                                  <w:divsChild>
                                                    <w:div w:id="397484138">
                                                      <w:marLeft w:val="0"/>
                                                      <w:marRight w:val="0"/>
                                                      <w:marTop w:val="0"/>
                                                      <w:marBottom w:val="0"/>
                                                      <w:divBdr>
                                                        <w:top w:val="none" w:sz="0" w:space="0" w:color="auto"/>
                                                        <w:left w:val="none" w:sz="0" w:space="0" w:color="auto"/>
                                                        <w:bottom w:val="none" w:sz="0" w:space="0" w:color="auto"/>
                                                        <w:right w:val="none" w:sz="0" w:space="0" w:color="auto"/>
                                                      </w:divBdr>
                                                      <w:divsChild>
                                                        <w:div w:id="1430200840">
                                                          <w:marLeft w:val="0"/>
                                                          <w:marRight w:val="0"/>
                                                          <w:marTop w:val="0"/>
                                                          <w:marBottom w:val="0"/>
                                                          <w:divBdr>
                                                            <w:top w:val="none" w:sz="0" w:space="0" w:color="auto"/>
                                                            <w:left w:val="none" w:sz="0" w:space="0" w:color="auto"/>
                                                            <w:bottom w:val="none" w:sz="0" w:space="0" w:color="auto"/>
                                                            <w:right w:val="none" w:sz="0" w:space="0" w:color="auto"/>
                                                          </w:divBdr>
                                                          <w:divsChild>
                                                            <w:div w:id="1384064596">
                                                              <w:marLeft w:val="0"/>
                                                              <w:marRight w:val="0"/>
                                                              <w:marTop w:val="0"/>
                                                              <w:marBottom w:val="0"/>
                                                              <w:divBdr>
                                                                <w:top w:val="none" w:sz="0" w:space="0" w:color="auto"/>
                                                                <w:left w:val="none" w:sz="0" w:space="0" w:color="auto"/>
                                                                <w:bottom w:val="none" w:sz="0" w:space="0" w:color="auto"/>
                                                                <w:right w:val="none" w:sz="0" w:space="0" w:color="auto"/>
                                                              </w:divBdr>
                                                              <w:divsChild>
                                                                <w:div w:id="1122041906">
                                                                  <w:marLeft w:val="0"/>
                                                                  <w:marRight w:val="0"/>
                                                                  <w:marTop w:val="0"/>
                                                                  <w:marBottom w:val="0"/>
                                                                  <w:divBdr>
                                                                    <w:top w:val="none" w:sz="0" w:space="0" w:color="auto"/>
                                                                    <w:left w:val="none" w:sz="0" w:space="0" w:color="auto"/>
                                                                    <w:bottom w:val="none" w:sz="0" w:space="0" w:color="auto"/>
                                                                    <w:right w:val="none" w:sz="0" w:space="0" w:color="auto"/>
                                                                  </w:divBdr>
                                                                  <w:divsChild>
                                                                    <w:div w:id="425883678">
                                                                      <w:marLeft w:val="0"/>
                                                                      <w:marRight w:val="0"/>
                                                                      <w:marTop w:val="0"/>
                                                                      <w:marBottom w:val="0"/>
                                                                      <w:divBdr>
                                                                        <w:top w:val="none" w:sz="0" w:space="0" w:color="auto"/>
                                                                        <w:left w:val="none" w:sz="0" w:space="0" w:color="auto"/>
                                                                        <w:bottom w:val="none" w:sz="0" w:space="0" w:color="auto"/>
                                                                        <w:right w:val="none" w:sz="0" w:space="0" w:color="auto"/>
                                                                      </w:divBdr>
                                                                      <w:divsChild>
                                                                        <w:div w:id="2031834592">
                                                                          <w:marLeft w:val="0"/>
                                                                          <w:marRight w:val="0"/>
                                                                          <w:marTop w:val="0"/>
                                                                          <w:marBottom w:val="0"/>
                                                                          <w:divBdr>
                                                                            <w:top w:val="none" w:sz="0" w:space="0" w:color="auto"/>
                                                                            <w:left w:val="none" w:sz="0" w:space="0" w:color="auto"/>
                                                                            <w:bottom w:val="none" w:sz="0" w:space="0" w:color="auto"/>
                                                                            <w:right w:val="none" w:sz="0" w:space="0" w:color="auto"/>
                                                                          </w:divBdr>
                                                                          <w:divsChild>
                                                                            <w:div w:id="285430348">
                                                                              <w:marLeft w:val="0"/>
                                                                              <w:marRight w:val="0"/>
                                                                              <w:marTop w:val="0"/>
                                                                              <w:marBottom w:val="0"/>
                                                                              <w:divBdr>
                                                                                <w:top w:val="none" w:sz="0" w:space="0" w:color="auto"/>
                                                                                <w:left w:val="none" w:sz="0" w:space="0" w:color="auto"/>
                                                                                <w:bottom w:val="none" w:sz="0" w:space="0" w:color="auto"/>
                                                                                <w:right w:val="none" w:sz="0" w:space="0" w:color="auto"/>
                                                                              </w:divBdr>
                                                                              <w:divsChild>
                                                                                <w:div w:id="1036199670">
                                                                                  <w:marLeft w:val="0"/>
                                                                                  <w:marRight w:val="0"/>
                                                                                  <w:marTop w:val="0"/>
                                                                                  <w:marBottom w:val="0"/>
                                                                                  <w:divBdr>
                                                                                    <w:top w:val="none" w:sz="0" w:space="0" w:color="auto"/>
                                                                                    <w:left w:val="none" w:sz="0" w:space="0" w:color="auto"/>
                                                                                    <w:bottom w:val="none" w:sz="0" w:space="0" w:color="auto"/>
                                                                                    <w:right w:val="none" w:sz="0" w:space="0" w:color="auto"/>
                                                                                  </w:divBdr>
                                                                                  <w:divsChild>
                                                                                    <w:div w:id="1610234812">
                                                                                      <w:marLeft w:val="0"/>
                                                                                      <w:marRight w:val="0"/>
                                                                                      <w:marTop w:val="0"/>
                                                                                      <w:marBottom w:val="0"/>
                                                                                      <w:divBdr>
                                                                                        <w:top w:val="none" w:sz="0" w:space="0" w:color="auto"/>
                                                                                        <w:left w:val="none" w:sz="0" w:space="0" w:color="auto"/>
                                                                                        <w:bottom w:val="none" w:sz="0" w:space="0" w:color="auto"/>
                                                                                        <w:right w:val="none" w:sz="0" w:space="0" w:color="auto"/>
                                                                                      </w:divBdr>
                                                                                      <w:divsChild>
                                                                                        <w:div w:id="1303004636">
                                                                                          <w:marLeft w:val="0"/>
                                                                                          <w:marRight w:val="0"/>
                                                                                          <w:marTop w:val="0"/>
                                                                                          <w:marBottom w:val="0"/>
                                                                                          <w:divBdr>
                                                                                            <w:top w:val="none" w:sz="0" w:space="0" w:color="auto"/>
                                                                                            <w:left w:val="none" w:sz="0" w:space="0" w:color="auto"/>
                                                                                            <w:bottom w:val="none" w:sz="0" w:space="0" w:color="auto"/>
                                                                                            <w:right w:val="none" w:sz="0" w:space="0" w:color="auto"/>
                                                                                          </w:divBdr>
                                                                                          <w:divsChild>
                                                                                            <w:div w:id="1422793764">
                                                                                              <w:marLeft w:val="0"/>
                                                                                              <w:marRight w:val="0"/>
                                                                                              <w:marTop w:val="0"/>
                                                                                              <w:marBottom w:val="0"/>
                                                                                              <w:divBdr>
                                                                                                <w:top w:val="none" w:sz="0" w:space="0" w:color="auto"/>
                                                                                                <w:left w:val="none" w:sz="0" w:space="0" w:color="auto"/>
                                                                                                <w:bottom w:val="none" w:sz="0" w:space="0" w:color="auto"/>
                                                                                                <w:right w:val="none" w:sz="0" w:space="0" w:color="auto"/>
                                                                                              </w:divBdr>
                                                                                              <w:divsChild>
                                                                                                <w:div w:id="1940943619">
                                                                                                  <w:marLeft w:val="0"/>
                                                                                                  <w:marRight w:val="0"/>
                                                                                                  <w:marTop w:val="0"/>
                                                                                                  <w:marBottom w:val="0"/>
                                                                                                  <w:divBdr>
                                                                                                    <w:top w:val="none" w:sz="0" w:space="0" w:color="auto"/>
                                                                                                    <w:left w:val="none" w:sz="0" w:space="0" w:color="auto"/>
                                                                                                    <w:bottom w:val="none" w:sz="0" w:space="0" w:color="auto"/>
                                                                                                    <w:right w:val="none" w:sz="0" w:space="0" w:color="auto"/>
                                                                                                  </w:divBdr>
                                                                                                  <w:divsChild>
                                                                                                    <w:div w:id="343942366">
                                                                                                      <w:marLeft w:val="0"/>
                                                                                                      <w:marRight w:val="0"/>
                                                                                                      <w:marTop w:val="0"/>
                                                                                                      <w:marBottom w:val="0"/>
                                                                                                      <w:divBdr>
                                                                                                        <w:top w:val="none" w:sz="0" w:space="0" w:color="auto"/>
                                                                                                        <w:left w:val="none" w:sz="0" w:space="0" w:color="auto"/>
                                                                                                        <w:bottom w:val="none" w:sz="0" w:space="0" w:color="auto"/>
                                                                                                        <w:right w:val="none" w:sz="0" w:space="0" w:color="auto"/>
                                                                                                      </w:divBdr>
                                                                                                      <w:divsChild>
                                                                                                        <w:div w:id="1976638344">
                                                                                                          <w:marLeft w:val="0"/>
                                                                                                          <w:marRight w:val="0"/>
                                                                                                          <w:marTop w:val="0"/>
                                                                                                          <w:marBottom w:val="0"/>
                                                                                                          <w:divBdr>
                                                                                                            <w:top w:val="none" w:sz="0" w:space="0" w:color="auto"/>
                                                                                                            <w:left w:val="none" w:sz="0" w:space="0" w:color="auto"/>
                                                                                                            <w:bottom w:val="none" w:sz="0" w:space="0" w:color="auto"/>
                                                                                                            <w:right w:val="none" w:sz="0" w:space="0" w:color="auto"/>
                                                                                                          </w:divBdr>
                                                                                                          <w:divsChild>
                                                                                                            <w:div w:id="555509270">
                                                                                                              <w:marLeft w:val="0"/>
                                                                                                              <w:marRight w:val="0"/>
                                                                                                              <w:marTop w:val="0"/>
                                                                                                              <w:marBottom w:val="0"/>
                                                                                                              <w:divBdr>
                                                                                                                <w:top w:val="none" w:sz="0" w:space="0" w:color="auto"/>
                                                                                                                <w:left w:val="none" w:sz="0" w:space="0" w:color="auto"/>
                                                                                                                <w:bottom w:val="none" w:sz="0" w:space="0" w:color="auto"/>
                                                                                                                <w:right w:val="none" w:sz="0" w:space="0" w:color="auto"/>
                                                                                                              </w:divBdr>
                                                                                                              <w:divsChild>
                                                                                                                <w:div w:id="183370081">
                                                                                                                  <w:marLeft w:val="0"/>
                                                                                                                  <w:marRight w:val="0"/>
                                                                                                                  <w:marTop w:val="0"/>
                                                                                                                  <w:marBottom w:val="0"/>
                                                                                                                  <w:divBdr>
                                                                                                                    <w:top w:val="none" w:sz="0" w:space="0" w:color="auto"/>
                                                                                                                    <w:left w:val="none" w:sz="0" w:space="0" w:color="auto"/>
                                                                                                                    <w:bottom w:val="none" w:sz="0" w:space="0" w:color="auto"/>
                                                                                                                    <w:right w:val="none" w:sz="0" w:space="0" w:color="auto"/>
                                                                                                                  </w:divBdr>
                                                                                                                  <w:divsChild>
                                                                                                                    <w:div w:id="2127649795">
                                                                                                                      <w:marLeft w:val="0"/>
                                                                                                                      <w:marRight w:val="0"/>
                                                                                                                      <w:marTop w:val="0"/>
                                                                                                                      <w:marBottom w:val="0"/>
                                                                                                                      <w:divBdr>
                                                                                                                        <w:top w:val="none" w:sz="0" w:space="0" w:color="auto"/>
                                                                                                                        <w:left w:val="none" w:sz="0" w:space="0" w:color="auto"/>
                                                                                                                        <w:bottom w:val="none" w:sz="0" w:space="0" w:color="auto"/>
                                                                                                                        <w:right w:val="none" w:sz="0" w:space="0" w:color="auto"/>
                                                                                                                      </w:divBdr>
                                                                                                                      <w:divsChild>
                                                                                                                        <w:div w:id="1837109164">
                                                                                                                          <w:marLeft w:val="0"/>
                                                                                                                          <w:marRight w:val="0"/>
                                                                                                                          <w:marTop w:val="0"/>
                                                                                                                          <w:marBottom w:val="0"/>
                                                                                                                          <w:divBdr>
                                                                                                                            <w:top w:val="none" w:sz="0" w:space="0" w:color="auto"/>
                                                                                                                            <w:left w:val="none" w:sz="0" w:space="0" w:color="auto"/>
                                                                                                                            <w:bottom w:val="none" w:sz="0" w:space="0" w:color="auto"/>
                                                                                                                            <w:right w:val="none" w:sz="0" w:space="0" w:color="auto"/>
                                                                                                                          </w:divBdr>
                                                                                                                          <w:divsChild>
                                                                                                                            <w:div w:id="195655588">
                                                                                                                              <w:marLeft w:val="0"/>
                                                                                                                              <w:marRight w:val="0"/>
                                                                                                                              <w:marTop w:val="0"/>
                                                                                                                              <w:marBottom w:val="0"/>
                                                                                                                              <w:divBdr>
                                                                                                                                <w:top w:val="none" w:sz="0" w:space="0" w:color="auto"/>
                                                                                                                                <w:left w:val="none" w:sz="0" w:space="0" w:color="auto"/>
                                                                                                                                <w:bottom w:val="none" w:sz="0" w:space="0" w:color="auto"/>
                                                                                                                                <w:right w:val="none" w:sz="0" w:space="0" w:color="auto"/>
                                                                                                                              </w:divBdr>
                                                                                                                              <w:divsChild>
                                                                                                                                <w:div w:id="1310596403">
                                                                                                                                  <w:marLeft w:val="0"/>
                                                                                                                                  <w:marRight w:val="0"/>
                                                                                                                                  <w:marTop w:val="0"/>
                                                                                                                                  <w:marBottom w:val="0"/>
                                                                                                                                  <w:divBdr>
                                                                                                                                    <w:top w:val="none" w:sz="0" w:space="0" w:color="auto"/>
                                                                                                                                    <w:left w:val="none" w:sz="0" w:space="0" w:color="auto"/>
                                                                                                                                    <w:bottom w:val="none" w:sz="0" w:space="0" w:color="auto"/>
                                                                                                                                    <w:right w:val="none" w:sz="0" w:space="0" w:color="auto"/>
                                                                                                                                  </w:divBdr>
                                                                                                                                  <w:divsChild>
                                                                                                                                    <w:div w:id="1486319627">
                                                                                                                                      <w:marLeft w:val="0"/>
                                                                                                                                      <w:marRight w:val="0"/>
                                                                                                                                      <w:marTop w:val="0"/>
                                                                                                                                      <w:marBottom w:val="0"/>
                                                                                                                                      <w:divBdr>
                                                                                                                                        <w:top w:val="none" w:sz="0" w:space="0" w:color="auto"/>
                                                                                                                                        <w:left w:val="none" w:sz="0" w:space="0" w:color="auto"/>
                                                                                                                                        <w:bottom w:val="none" w:sz="0" w:space="0" w:color="auto"/>
                                                                                                                                        <w:right w:val="none" w:sz="0" w:space="0" w:color="auto"/>
                                                                                                                                      </w:divBdr>
                                                                                                                                      <w:divsChild>
                                                                                                                                        <w:div w:id="1303345762">
                                                                                                                                          <w:marLeft w:val="0"/>
                                                                                                                                          <w:marRight w:val="0"/>
                                                                                                                                          <w:marTop w:val="0"/>
                                                                                                                                          <w:marBottom w:val="0"/>
                                                                                                                                          <w:divBdr>
                                                                                                                                            <w:top w:val="none" w:sz="0" w:space="0" w:color="auto"/>
                                                                                                                                            <w:left w:val="none" w:sz="0" w:space="0" w:color="auto"/>
                                                                                                                                            <w:bottom w:val="none" w:sz="0" w:space="0" w:color="auto"/>
                                                                                                                                            <w:right w:val="none" w:sz="0" w:space="0" w:color="auto"/>
                                                                                                                                          </w:divBdr>
                                                                                                                                          <w:divsChild>
                                                                                                                                            <w:div w:id="475073516">
                                                                                                                                              <w:marLeft w:val="0"/>
                                                                                                                                              <w:marRight w:val="0"/>
                                                                                                                                              <w:marTop w:val="0"/>
                                                                                                                                              <w:marBottom w:val="0"/>
                                                                                                                                              <w:divBdr>
                                                                                                                                                <w:top w:val="none" w:sz="0" w:space="0" w:color="auto"/>
                                                                                                                                                <w:left w:val="none" w:sz="0" w:space="0" w:color="auto"/>
                                                                                                                                                <w:bottom w:val="none" w:sz="0" w:space="0" w:color="auto"/>
                                                                                                                                                <w:right w:val="none" w:sz="0" w:space="0" w:color="auto"/>
                                                                                                                                              </w:divBdr>
                                                                                                                                              <w:divsChild>
                                                                                                                                                <w:div w:id="1898318460">
                                                                                                                                                  <w:marLeft w:val="0"/>
                                                                                                                                                  <w:marRight w:val="0"/>
                                                                                                                                                  <w:marTop w:val="0"/>
                                                                                                                                                  <w:marBottom w:val="0"/>
                                                                                                                                                  <w:divBdr>
                                                                                                                                                    <w:top w:val="none" w:sz="0" w:space="0" w:color="auto"/>
                                                                                                                                                    <w:left w:val="none" w:sz="0" w:space="0" w:color="auto"/>
                                                                                                                                                    <w:bottom w:val="none" w:sz="0" w:space="0" w:color="auto"/>
                                                                                                                                                    <w:right w:val="none" w:sz="0" w:space="0" w:color="auto"/>
                                                                                                                                                  </w:divBdr>
                                                                                                                                                  <w:divsChild>
                                                                                                                                                    <w:div w:id="1646471307">
                                                                                                                                                      <w:marLeft w:val="0"/>
                                                                                                                                                      <w:marRight w:val="0"/>
                                                                                                                                                      <w:marTop w:val="0"/>
                                                                                                                                                      <w:marBottom w:val="0"/>
                                                                                                                                                      <w:divBdr>
                                                                                                                                                        <w:top w:val="none" w:sz="0" w:space="0" w:color="auto"/>
                                                                                                                                                        <w:left w:val="none" w:sz="0" w:space="0" w:color="auto"/>
                                                                                                                                                        <w:bottom w:val="none" w:sz="0" w:space="0" w:color="auto"/>
                                                                                                                                                        <w:right w:val="none" w:sz="0" w:space="0" w:color="auto"/>
                                                                                                                                                      </w:divBdr>
                                                                                                                                                      <w:divsChild>
                                                                                                                                                        <w:div w:id="95832285">
                                                                                                                                                          <w:marLeft w:val="0"/>
                                                                                                                                                          <w:marRight w:val="0"/>
                                                                                                                                                          <w:marTop w:val="0"/>
                                                                                                                                                          <w:marBottom w:val="0"/>
                                                                                                                                                          <w:divBdr>
                                                                                                                                                            <w:top w:val="none" w:sz="0" w:space="0" w:color="auto"/>
                                                                                                                                                            <w:left w:val="none" w:sz="0" w:space="0" w:color="auto"/>
                                                                                                                                                            <w:bottom w:val="none" w:sz="0" w:space="0" w:color="auto"/>
                                                                                                                                                            <w:right w:val="none" w:sz="0" w:space="0" w:color="auto"/>
                                                                                                                                                          </w:divBdr>
                                                                                                                                                          <w:divsChild>
                                                                                                                                                            <w:div w:id="2146653251">
                                                                                                                                                              <w:marLeft w:val="0"/>
                                                                                                                                                              <w:marRight w:val="0"/>
                                                                                                                                                              <w:marTop w:val="0"/>
                                                                                                                                                              <w:marBottom w:val="0"/>
                                                                                                                                                              <w:divBdr>
                                                                                                                                                                <w:top w:val="none" w:sz="0" w:space="0" w:color="auto"/>
                                                                                                                                                                <w:left w:val="none" w:sz="0" w:space="0" w:color="auto"/>
                                                                                                                                                                <w:bottom w:val="none" w:sz="0" w:space="0" w:color="auto"/>
                                                                                                                                                                <w:right w:val="none" w:sz="0" w:space="0" w:color="auto"/>
                                                                                                                                                              </w:divBdr>
                                                                                                                                                              <w:divsChild>
                                                                                                                                                                <w:div w:id="325593330">
                                                                                                                                                                  <w:marLeft w:val="0"/>
                                                                                                                                                                  <w:marRight w:val="0"/>
                                                                                                                                                                  <w:marTop w:val="0"/>
                                                                                                                                                                  <w:marBottom w:val="0"/>
                                                                                                                                                                  <w:divBdr>
                                                                                                                                                                    <w:top w:val="none" w:sz="0" w:space="0" w:color="auto"/>
                                                                                                                                                                    <w:left w:val="none" w:sz="0" w:space="0" w:color="auto"/>
                                                                                                                                                                    <w:bottom w:val="none" w:sz="0" w:space="0" w:color="auto"/>
                                                                                                                                                                    <w:right w:val="none" w:sz="0" w:space="0" w:color="auto"/>
                                                                                                                                                                  </w:divBdr>
                                                                                                                                                                  <w:divsChild>
                                                                                                                                                                    <w:div w:id="1505828122">
                                                                                                                                                                      <w:marLeft w:val="0"/>
                                                                                                                                                                      <w:marRight w:val="0"/>
                                                                                                                                                                      <w:marTop w:val="0"/>
                                                                                                                                                                      <w:marBottom w:val="0"/>
                                                                                                                                                                      <w:divBdr>
                                                                                                                                                                        <w:top w:val="none" w:sz="0" w:space="0" w:color="auto"/>
                                                                                                                                                                        <w:left w:val="none" w:sz="0" w:space="0" w:color="auto"/>
                                                                                                                                                                        <w:bottom w:val="none" w:sz="0" w:space="0" w:color="auto"/>
                                                                                                                                                                        <w:right w:val="none" w:sz="0" w:space="0" w:color="auto"/>
                                                                                                                                                                      </w:divBdr>
                                                                                                                                                                      <w:divsChild>
                                                                                                                                                                        <w:div w:id="33892922">
                                                                                                                                                                          <w:marLeft w:val="0"/>
                                                                                                                                                                          <w:marRight w:val="0"/>
                                                                                                                                                                          <w:marTop w:val="0"/>
                                                                                                                                                                          <w:marBottom w:val="0"/>
                                                                                                                                                                          <w:divBdr>
                                                                                                                                                                            <w:top w:val="none" w:sz="0" w:space="0" w:color="auto"/>
                                                                                                                                                                            <w:left w:val="none" w:sz="0" w:space="0" w:color="auto"/>
                                                                                                                                                                            <w:bottom w:val="none" w:sz="0" w:space="0" w:color="auto"/>
                                                                                                                                                                            <w:right w:val="none" w:sz="0" w:space="0" w:color="auto"/>
                                                                                                                                                                          </w:divBdr>
                                                                                                                                                                          <w:divsChild>
                                                                                                                                                                            <w:div w:id="281228498">
                                                                                                                                                                              <w:marLeft w:val="0"/>
                                                                                                                                                                              <w:marRight w:val="0"/>
                                                                                                                                                                              <w:marTop w:val="0"/>
                                                                                                                                                                              <w:marBottom w:val="0"/>
                                                                                                                                                                              <w:divBdr>
                                                                                                                                                                                <w:top w:val="none" w:sz="0" w:space="0" w:color="auto"/>
                                                                                                                                                                                <w:left w:val="none" w:sz="0" w:space="0" w:color="auto"/>
                                                                                                                                                                                <w:bottom w:val="none" w:sz="0" w:space="0" w:color="auto"/>
                                                                                                                                                                                <w:right w:val="none" w:sz="0" w:space="0" w:color="auto"/>
                                                                                                                                                                              </w:divBdr>
                                                                                                                                                                              <w:divsChild>
                                                                                                                                                                                <w:div w:id="289677625">
                                                                                                                                                                                  <w:marLeft w:val="0"/>
                                                                                                                                                                                  <w:marRight w:val="0"/>
                                                                                                                                                                                  <w:marTop w:val="0"/>
                                                                                                                                                                                  <w:marBottom w:val="0"/>
                                                                                                                                                                                  <w:divBdr>
                                                                                                                                                                                    <w:top w:val="none" w:sz="0" w:space="0" w:color="auto"/>
                                                                                                                                                                                    <w:left w:val="none" w:sz="0" w:space="0" w:color="auto"/>
                                                                                                                                                                                    <w:bottom w:val="none" w:sz="0" w:space="0" w:color="auto"/>
                                                                                                                                                                                    <w:right w:val="none" w:sz="0" w:space="0" w:color="auto"/>
                                                                                                                                                                                  </w:divBdr>
                                                                                                                                                                                  <w:divsChild>
                                                                                                                                                                                    <w:div w:id="1797139869">
                                                                                                                                                                                      <w:marLeft w:val="0"/>
                                                                                                                                                                                      <w:marRight w:val="0"/>
                                                                                                                                                                                      <w:marTop w:val="0"/>
                                                                                                                                                                                      <w:marBottom w:val="0"/>
                                                                                                                                                                                      <w:divBdr>
                                                                                                                                                                                        <w:top w:val="none" w:sz="0" w:space="0" w:color="auto"/>
                                                                                                                                                                                        <w:left w:val="none" w:sz="0" w:space="0" w:color="auto"/>
                                                                                                                                                                                        <w:bottom w:val="none" w:sz="0" w:space="0" w:color="auto"/>
                                                                                                                                                                                        <w:right w:val="none" w:sz="0" w:space="0" w:color="auto"/>
                                                                                                                                                                                      </w:divBdr>
                                                                                                                                                                                      <w:divsChild>
                                                                                                                                                                                        <w:div w:id="1346781712">
                                                                                                                                                                                          <w:marLeft w:val="0"/>
                                                                                                                                                                                          <w:marRight w:val="0"/>
                                                                                                                                                                                          <w:marTop w:val="0"/>
                                                                                                                                                                                          <w:marBottom w:val="0"/>
                                                                                                                                                                                          <w:divBdr>
                                                                                                                                                                                            <w:top w:val="none" w:sz="0" w:space="0" w:color="auto"/>
                                                                                                                                                                                            <w:left w:val="none" w:sz="0" w:space="0" w:color="auto"/>
                                                                                                                                                                                            <w:bottom w:val="none" w:sz="0" w:space="0" w:color="auto"/>
                                                                                                                                                                                            <w:right w:val="none" w:sz="0" w:space="0" w:color="auto"/>
                                                                                                                                                                                          </w:divBdr>
                                                                                                                                                                                          <w:divsChild>
                                                                                                                                                                                            <w:div w:id="2096318852">
                                                                                                                                                                                              <w:marLeft w:val="0"/>
                                                                                                                                                                                              <w:marRight w:val="0"/>
                                                                                                                                                                                              <w:marTop w:val="0"/>
                                                                                                                                                                                              <w:marBottom w:val="0"/>
                                                                                                                                                                                              <w:divBdr>
                                                                                                                                                                                                <w:top w:val="none" w:sz="0" w:space="0" w:color="auto"/>
                                                                                                                                                                                                <w:left w:val="none" w:sz="0" w:space="0" w:color="auto"/>
                                                                                                                                                                                                <w:bottom w:val="none" w:sz="0" w:space="0" w:color="auto"/>
                                                                                                                                                                                                <w:right w:val="none" w:sz="0" w:space="0" w:color="auto"/>
                                                                                                                                                                                              </w:divBdr>
                                                                                                                                                                                              <w:divsChild>
                                                                                                                                                                                                <w:div w:id="481167006">
                                                                                                                                                                                                  <w:marLeft w:val="0"/>
                                                                                                                                                                                                  <w:marRight w:val="0"/>
                                                                                                                                                                                                  <w:marTop w:val="0"/>
                                                                                                                                                                                                  <w:marBottom w:val="0"/>
                                                                                                                                                                                                  <w:divBdr>
                                                                                                                                                                                                    <w:top w:val="none" w:sz="0" w:space="0" w:color="auto"/>
                                                                                                                                                                                                    <w:left w:val="none" w:sz="0" w:space="0" w:color="auto"/>
                                                                                                                                                                                                    <w:bottom w:val="none" w:sz="0" w:space="0" w:color="auto"/>
                                                                                                                                                                                                    <w:right w:val="none" w:sz="0" w:space="0" w:color="auto"/>
                                                                                                                                                                                                  </w:divBdr>
                                                                                                                                                                                                  <w:divsChild>
                                                                                                                                                                                                    <w:div w:id="458306454">
                                                                                                                                                                                                      <w:marLeft w:val="0"/>
                                                                                                                                                                                                      <w:marRight w:val="0"/>
                                                                                                                                                                                                      <w:marTop w:val="0"/>
                                                                                                                                                                                                      <w:marBottom w:val="0"/>
                                                                                                                                                                                                      <w:divBdr>
                                                                                                                                                                                                        <w:top w:val="none" w:sz="0" w:space="0" w:color="auto"/>
                                                                                                                                                                                                        <w:left w:val="none" w:sz="0" w:space="0" w:color="auto"/>
                                                                                                                                                                                                        <w:bottom w:val="none" w:sz="0" w:space="0" w:color="auto"/>
                                                                                                                                                                                                        <w:right w:val="none" w:sz="0" w:space="0" w:color="auto"/>
                                                                                                                                                                                                      </w:divBdr>
                                                                                                                                                                                                      <w:divsChild>
                                                                                                                                                                                                        <w:div w:id="2124497769">
                                                                                                                                                                                                          <w:marLeft w:val="0"/>
                                                                                                                                                                                                          <w:marRight w:val="0"/>
                                                                                                                                                                                                          <w:marTop w:val="0"/>
                                                                                                                                                                                                          <w:marBottom w:val="0"/>
                                                                                                                                                                                                          <w:divBdr>
                                                                                                                                                                                                            <w:top w:val="none" w:sz="0" w:space="0" w:color="auto"/>
                                                                                                                                                                                                            <w:left w:val="none" w:sz="0" w:space="0" w:color="auto"/>
                                                                                                                                                                                                            <w:bottom w:val="none" w:sz="0" w:space="0" w:color="auto"/>
                                                                                                                                                                                                            <w:right w:val="none" w:sz="0" w:space="0" w:color="auto"/>
                                                                                                                                                                                                          </w:divBdr>
                                                                                                                                                                                                          <w:divsChild>
                                                                                                                                                                                                            <w:div w:id="2031641961">
                                                                                                                                                                                                              <w:marLeft w:val="0"/>
                                                                                                                                                                                                              <w:marRight w:val="0"/>
                                                                                                                                                                                                              <w:marTop w:val="0"/>
                                                                                                                                                                                                              <w:marBottom w:val="0"/>
                                                                                                                                                                                                              <w:divBdr>
                                                                                                                                                                                                                <w:top w:val="none" w:sz="0" w:space="0" w:color="auto"/>
                                                                                                                                                                                                                <w:left w:val="none" w:sz="0" w:space="0" w:color="auto"/>
                                                                                                                                                                                                                <w:bottom w:val="none" w:sz="0" w:space="0" w:color="auto"/>
                                                                                                                                                                                                                <w:right w:val="none" w:sz="0" w:space="0" w:color="auto"/>
                                                                                                                                                                                                              </w:divBdr>
                                                                                                                                                                                                              <w:divsChild>
                                                                                                                                                                                                                <w:div w:id="1315064228">
                                                                                                                                                                                                                  <w:marLeft w:val="0"/>
                                                                                                                                                                                                                  <w:marRight w:val="0"/>
                                                                                                                                                                                                                  <w:marTop w:val="0"/>
                                                                                                                                                                                                                  <w:marBottom w:val="0"/>
                                                                                                                                                                                                                  <w:divBdr>
                                                                                                                                                                                                                    <w:top w:val="none" w:sz="0" w:space="0" w:color="auto"/>
                                                                                                                                                                                                                    <w:left w:val="none" w:sz="0" w:space="0" w:color="auto"/>
                                                                                                                                                                                                                    <w:bottom w:val="none" w:sz="0" w:space="0" w:color="auto"/>
                                                                                                                                                                                                                    <w:right w:val="none" w:sz="0" w:space="0" w:color="auto"/>
                                                                                                                                                                                                                  </w:divBdr>
                                                                                                                                                                                                                  <w:divsChild>
                                                                                                                                                                                                                    <w:div w:id="544681665">
                                                                                                                                                                                                                      <w:marLeft w:val="0"/>
                                                                                                                                                                                                                      <w:marRight w:val="0"/>
                                                                                                                                                                                                                      <w:marTop w:val="0"/>
                                                                                                                                                                                                                      <w:marBottom w:val="0"/>
                                                                                                                                                                                                                      <w:divBdr>
                                                                                                                                                                                                                        <w:top w:val="none" w:sz="0" w:space="0" w:color="auto"/>
                                                                                                                                                                                                                        <w:left w:val="none" w:sz="0" w:space="0" w:color="auto"/>
                                                                                                                                                                                                                        <w:bottom w:val="none" w:sz="0" w:space="0" w:color="auto"/>
                                                                                                                                                                                                                        <w:right w:val="none" w:sz="0" w:space="0" w:color="auto"/>
                                                                                                                                                                                                                      </w:divBdr>
                                                                                                                                                                                                                      <w:divsChild>
                                                                                                                                                                                                                        <w:div w:id="1513031411">
                                                                                                                                                                                                                          <w:marLeft w:val="0"/>
                                                                                                                                                                                                                          <w:marRight w:val="0"/>
                                                                                                                                                                                                                          <w:marTop w:val="0"/>
                                                                                                                                                                                                                          <w:marBottom w:val="0"/>
                                                                                                                                                                                                                          <w:divBdr>
                                                                                                                                                                                                                            <w:top w:val="none" w:sz="0" w:space="0" w:color="auto"/>
                                                                                                                                                                                                                            <w:left w:val="none" w:sz="0" w:space="0" w:color="auto"/>
                                                                                                                                                                                                                            <w:bottom w:val="none" w:sz="0" w:space="0" w:color="auto"/>
                                                                                                                                                                                                                            <w:right w:val="none" w:sz="0" w:space="0" w:color="auto"/>
                                                                                                                                                                                                                          </w:divBdr>
                                                                                                                                                                                                                          <w:divsChild>
                                                                                                                                                                                                                            <w:div w:id="1057632963">
                                                                                                                                                                                                                              <w:marLeft w:val="0"/>
                                                                                                                                                                                                                              <w:marRight w:val="0"/>
                                                                                                                                                                                                                              <w:marTop w:val="0"/>
                                                                                                                                                                                                                              <w:marBottom w:val="0"/>
                                                                                                                                                                                                                              <w:divBdr>
                                                                                                                                                                                                                                <w:top w:val="none" w:sz="0" w:space="0" w:color="auto"/>
                                                                                                                                                                                                                                <w:left w:val="none" w:sz="0" w:space="0" w:color="auto"/>
                                                                                                                                                                                                                                <w:bottom w:val="none" w:sz="0" w:space="0" w:color="auto"/>
                                                                                                                                                                                                                                <w:right w:val="none" w:sz="0" w:space="0" w:color="auto"/>
                                                                                                                                                                                                                              </w:divBdr>
                                                                                                                                                                                                                              <w:divsChild>
                                                                                                                                                                                                                                <w:div w:id="23479303">
                                                                                                                                                                                                                                  <w:marLeft w:val="0"/>
                                                                                                                                                                                                                                  <w:marRight w:val="0"/>
                                                                                                                                                                                                                                  <w:marTop w:val="0"/>
                                                                                                                                                                                                                                  <w:marBottom w:val="0"/>
                                                                                                                                                                                                                                  <w:divBdr>
                                                                                                                                                                                                                                    <w:top w:val="none" w:sz="0" w:space="0" w:color="auto"/>
                                                                                                                                                                                                                                    <w:left w:val="none" w:sz="0" w:space="0" w:color="auto"/>
                                                                                                                                                                                                                                    <w:bottom w:val="none" w:sz="0" w:space="0" w:color="auto"/>
                                                                                                                                                                                                                                    <w:right w:val="none" w:sz="0" w:space="0" w:color="auto"/>
                                                                                                                                                                                                                                  </w:divBdr>
                                                                                                                                                                                                                                  <w:divsChild>
                                                                                                                                                                                                                                    <w:div w:id="411781681">
                                                                                                                                                                                                                                      <w:marLeft w:val="0"/>
                                                                                                                                                                                                                                      <w:marRight w:val="0"/>
                                                                                                                                                                                                                                      <w:marTop w:val="0"/>
                                                                                                                                                                                                                                      <w:marBottom w:val="0"/>
                                                                                                                                                                                                                                      <w:divBdr>
                                                                                                                                                                                                                                        <w:top w:val="none" w:sz="0" w:space="0" w:color="auto"/>
                                                                                                                                                                                                                                        <w:left w:val="none" w:sz="0" w:space="0" w:color="auto"/>
                                                                                                                                                                                                                                        <w:bottom w:val="none" w:sz="0" w:space="0" w:color="auto"/>
                                                                                                                                                                                                                                        <w:right w:val="none" w:sz="0" w:space="0" w:color="auto"/>
                                                                                                                                                                                                                                      </w:divBdr>
                                                                                                                                                                                                                                      <w:divsChild>
                                                                                                                                                                                                                                        <w:div w:id="973371791">
                                                                                                                                                                                                                                          <w:marLeft w:val="0"/>
                                                                                                                                                                                                                                          <w:marRight w:val="0"/>
                                                                                                                                                                                                                                          <w:marTop w:val="0"/>
                                                                                                                                                                                                                                          <w:marBottom w:val="0"/>
                                                                                                                                                                                                                                          <w:divBdr>
                                                                                                                                                                                                                                            <w:top w:val="none" w:sz="0" w:space="0" w:color="auto"/>
                                                                                                                                                                                                                                            <w:left w:val="none" w:sz="0" w:space="0" w:color="auto"/>
                                                                                                                                                                                                                                            <w:bottom w:val="none" w:sz="0" w:space="0" w:color="auto"/>
                                                                                                                                                                                                                                            <w:right w:val="none" w:sz="0" w:space="0" w:color="auto"/>
                                                                                                                                                                                                                                          </w:divBdr>
                                                                                                                                                                                                                                          <w:divsChild>
                                                                                                                                                                                                                                            <w:div w:id="876432589">
                                                                                                                                                                                                                                              <w:marLeft w:val="0"/>
                                                                                                                                                                                                                                              <w:marRight w:val="0"/>
                                                                                                                                                                                                                                              <w:marTop w:val="0"/>
                                                                                                                                                                                                                                              <w:marBottom w:val="0"/>
                                                                                                                                                                                                                                              <w:divBdr>
                                                                                                                                                                                                                                                <w:top w:val="none" w:sz="0" w:space="0" w:color="auto"/>
                                                                                                                                                                                                                                                <w:left w:val="none" w:sz="0" w:space="0" w:color="auto"/>
                                                                                                                                                                                                                                                <w:bottom w:val="none" w:sz="0" w:space="0" w:color="auto"/>
                                                                                                                                                                                                                                                <w:right w:val="none" w:sz="0" w:space="0" w:color="auto"/>
                                                                                                                                                                                                                                              </w:divBdr>
                                                                                                                                                                                                                                              <w:divsChild>
                                                                                                                                                                                                                                                <w:div w:id="66610869">
                                                                                                                                                                                                                                                  <w:marLeft w:val="0"/>
                                                                                                                                                                                                                                                  <w:marRight w:val="0"/>
                                                                                                                                                                                                                                                  <w:marTop w:val="0"/>
                                                                                                                                                                                                                                                  <w:marBottom w:val="0"/>
                                                                                                                                                                                                                                                  <w:divBdr>
                                                                                                                                                                                                                                                    <w:top w:val="none" w:sz="0" w:space="0" w:color="auto"/>
                                                                                                                                                                                                                                                    <w:left w:val="none" w:sz="0" w:space="0" w:color="auto"/>
                                                                                                                                                                                                                                                    <w:bottom w:val="none" w:sz="0" w:space="0" w:color="auto"/>
                                                                                                                                                                                                                                                    <w:right w:val="none" w:sz="0" w:space="0" w:color="auto"/>
                                                                                                                                                                                                                                                  </w:divBdr>
                                                                                                                                                                                                                                                </w:div>
                                                                                                                                                                                                                                                <w:div w:id="2130584928">
                                                                                                                                                                                                                                                  <w:marLeft w:val="0"/>
                                                                                                                                                                                                                                                  <w:marRight w:val="0"/>
                                                                                                                                                                                                                                                  <w:marTop w:val="0"/>
                                                                                                                                                                                                                                                  <w:marBottom w:val="0"/>
                                                                                                                                                                                                                                                  <w:divBdr>
                                                                                                                                                                                                                                                    <w:top w:val="none" w:sz="0" w:space="0" w:color="auto"/>
                                                                                                                                                                                                                                                    <w:left w:val="none" w:sz="0" w:space="0" w:color="auto"/>
                                                                                                                                                                                                                                                    <w:bottom w:val="none" w:sz="0" w:space="0" w:color="auto"/>
                                                                                                                                                                                                                                                    <w:right w:val="none" w:sz="0" w:space="0" w:color="auto"/>
                                                                                                                                                                                                                                                  </w:divBdr>
                                                                                                                                                                                                                                                </w:div>
                                                                                                                                                                                                                                                <w:div w:id="468984539">
                                                                                                                                                                                                                                                  <w:marLeft w:val="0"/>
                                                                                                                                                                                                                                                  <w:marRight w:val="0"/>
                                                                                                                                                                                                                                                  <w:marTop w:val="0"/>
                                                                                                                                                                                                                                                  <w:marBottom w:val="0"/>
                                                                                                                                                                                                                                                  <w:divBdr>
                                                                                                                                                                                                                                                    <w:top w:val="none" w:sz="0" w:space="0" w:color="auto"/>
                                                                                                                                                                                                                                                    <w:left w:val="none" w:sz="0" w:space="0" w:color="auto"/>
                                                                                                                                                                                                                                                    <w:bottom w:val="none" w:sz="0" w:space="0" w:color="auto"/>
                                                                                                                                                                                                                                                    <w:right w:val="none" w:sz="0" w:space="0" w:color="auto"/>
                                                                                                                                                                                                                                                  </w:divBdr>
                                                                                                                                                                                                                                                  <w:divsChild>
                                                                                                                                                                                                                                                    <w:div w:id="11907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798529">
      <w:bodyDiv w:val="1"/>
      <w:marLeft w:val="0"/>
      <w:marRight w:val="0"/>
      <w:marTop w:val="0"/>
      <w:marBottom w:val="0"/>
      <w:divBdr>
        <w:top w:val="none" w:sz="0" w:space="0" w:color="auto"/>
        <w:left w:val="none" w:sz="0" w:space="0" w:color="auto"/>
        <w:bottom w:val="none" w:sz="0" w:space="0" w:color="auto"/>
        <w:right w:val="none" w:sz="0" w:space="0" w:color="auto"/>
      </w:divBdr>
    </w:div>
    <w:div w:id="1880893651">
      <w:bodyDiv w:val="1"/>
      <w:marLeft w:val="0"/>
      <w:marRight w:val="0"/>
      <w:marTop w:val="0"/>
      <w:marBottom w:val="0"/>
      <w:divBdr>
        <w:top w:val="none" w:sz="0" w:space="0" w:color="auto"/>
        <w:left w:val="none" w:sz="0" w:space="0" w:color="auto"/>
        <w:bottom w:val="none" w:sz="0" w:space="0" w:color="auto"/>
        <w:right w:val="none" w:sz="0" w:space="0" w:color="auto"/>
      </w:divBdr>
      <w:divsChild>
        <w:div w:id="2141874059">
          <w:marLeft w:val="0"/>
          <w:marRight w:val="0"/>
          <w:marTop w:val="0"/>
          <w:marBottom w:val="0"/>
          <w:divBdr>
            <w:top w:val="none" w:sz="0" w:space="0" w:color="auto"/>
            <w:left w:val="none" w:sz="0" w:space="0" w:color="auto"/>
            <w:bottom w:val="none" w:sz="0" w:space="0" w:color="auto"/>
            <w:right w:val="none" w:sz="0" w:space="0" w:color="auto"/>
          </w:divBdr>
        </w:div>
        <w:div w:id="1720128877">
          <w:marLeft w:val="0"/>
          <w:marRight w:val="0"/>
          <w:marTop w:val="0"/>
          <w:marBottom w:val="0"/>
          <w:divBdr>
            <w:top w:val="none" w:sz="0" w:space="0" w:color="auto"/>
            <w:left w:val="none" w:sz="0" w:space="0" w:color="auto"/>
            <w:bottom w:val="none" w:sz="0" w:space="0" w:color="auto"/>
            <w:right w:val="none" w:sz="0" w:space="0" w:color="auto"/>
          </w:divBdr>
        </w:div>
        <w:div w:id="145325727">
          <w:marLeft w:val="0"/>
          <w:marRight w:val="0"/>
          <w:marTop w:val="0"/>
          <w:marBottom w:val="0"/>
          <w:divBdr>
            <w:top w:val="none" w:sz="0" w:space="0" w:color="auto"/>
            <w:left w:val="none" w:sz="0" w:space="0" w:color="auto"/>
            <w:bottom w:val="none" w:sz="0" w:space="0" w:color="auto"/>
            <w:right w:val="none" w:sz="0" w:space="0" w:color="auto"/>
          </w:divBdr>
        </w:div>
        <w:div w:id="9313987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ute.kreplin@coventry.ac.uk" TargetMode="External"/><Relationship Id="rId10"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FE312-B56A-2D42-9207-154A7C20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35767</Words>
  <Characters>203874</Characters>
  <Application>Microsoft Macintosh Word</Application>
  <DocSecurity>0</DocSecurity>
  <Lines>1698</Lines>
  <Paragraphs>478</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239163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U.Kreplin</dc:creator>
  <cp:lastModifiedBy>Stephen Fairclough</cp:lastModifiedBy>
  <cp:revision>2</cp:revision>
  <dcterms:created xsi:type="dcterms:W3CDTF">2015-03-27T16:58:00Z</dcterms:created>
  <dcterms:modified xsi:type="dcterms:W3CDTF">2015-03-27T16:58:00Z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ukreplin@gmail.com@www.mendeley.com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